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974"/>
      </w:tblGrid>
      <w:tr w:rsidR="004C7AE6" w:rsidTr="00543D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C7AE6" w:rsidRPr="00543DF7" w:rsidRDefault="00B8141C" w:rsidP="00216053">
            <w:pPr>
              <w:spacing w:before="120"/>
              <w:jc w:val="center"/>
              <w:rPr>
                <w:sz w:val="26"/>
                <w:szCs w:val="26"/>
              </w:rPr>
            </w:pPr>
            <w:r w:rsidRPr="00B8141C">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6.8pt;margin-top:39.3pt;width:56.25pt;height:0;z-index:251658240" o:connectortype="straight"/>
              </w:pict>
            </w:r>
            <w:r w:rsidR="004C7AE6" w:rsidRPr="00543DF7">
              <w:rPr>
                <w:b/>
                <w:bCs/>
                <w:sz w:val="26"/>
                <w:szCs w:val="26"/>
              </w:rPr>
              <w:t xml:space="preserve">ỦY BAN NHÂN DÂN </w:t>
            </w:r>
            <w:r w:rsidR="004C7AE6" w:rsidRPr="00543DF7">
              <w:rPr>
                <w:b/>
                <w:bCs/>
                <w:sz w:val="26"/>
                <w:szCs w:val="26"/>
              </w:rPr>
              <w:br/>
            </w:r>
            <w:r w:rsidR="00543DF7" w:rsidRPr="00543DF7">
              <w:rPr>
                <w:b/>
                <w:bCs/>
                <w:sz w:val="26"/>
                <w:szCs w:val="26"/>
              </w:rPr>
              <w:t xml:space="preserve">TỈNH </w:t>
            </w:r>
            <w:r w:rsidR="00543DF7" w:rsidRPr="00543DF7">
              <w:rPr>
                <w:b/>
                <w:bCs/>
                <w:sz w:val="26"/>
                <w:szCs w:val="26"/>
                <w:lang w:val="en-US"/>
              </w:rPr>
              <w:t>QUẢNG TRỊ</w:t>
            </w:r>
            <w:r w:rsidR="004C7AE6" w:rsidRPr="00543DF7">
              <w:rPr>
                <w:b/>
                <w:bCs/>
                <w:sz w:val="26"/>
                <w:szCs w:val="26"/>
              </w:rPr>
              <w:br/>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4C7AE6" w:rsidRPr="00543DF7" w:rsidRDefault="00B8141C" w:rsidP="00216053">
            <w:pPr>
              <w:spacing w:before="120"/>
              <w:jc w:val="center"/>
              <w:rPr>
                <w:sz w:val="26"/>
                <w:szCs w:val="26"/>
              </w:rPr>
            </w:pPr>
            <w:r w:rsidRPr="00B8141C">
              <w:rPr>
                <w:b/>
                <w:bCs/>
                <w:noProof/>
                <w:sz w:val="26"/>
                <w:szCs w:val="26"/>
              </w:rPr>
              <w:pict>
                <v:shape id="_x0000_s1027" type="#_x0000_t32" style="position:absolute;left:0;text-align:left;margin-left:65.4pt;margin-top:40.05pt;width:159pt;height:0;z-index:251659264;mso-position-horizontal-relative:text;mso-position-vertical-relative:text" o:connectortype="straight"/>
              </w:pict>
            </w:r>
            <w:r w:rsidR="004C7AE6" w:rsidRPr="00543DF7">
              <w:rPr>
                <w:b/>
                <w:bCs/>
                <w:sz w:val="26"/>
                <w:szCs w:val="26"/>
              </w:rPr>
              <w:t>CỘNG HÒA XÃ HỘI CHỦ NGHĨA VIỆT NAM</w:t>
            </w:r>
            <w:r w:rsidR="004C7AE6" w:rsidRPr="00543DF7">
              <w:rPr>
                <w:b/>
                <w:bCs/>
                <w:sz w:val="26"/>
                <w:szCs w:val="26"/>
              </w:rPr>
              <w:br/>
              <w:t xml:space="preserve">Độc lập - Tự do - Hạnh phúc </w:t>
            </w:r>
            <w:r w:rsidR="004C7AE6" w:rsidRPr="00543DF7">
              <w:rPr>
                <w:b/>
                <w:bCs/>
                <w:sz w:val="26"/>
                <w:szCs w:val="26"/>
              </w:rPr>
              <w:br/>
            </w:r>
          </w:p>
        </w:tc>
      </w:tr>
      <w:tr w:rsidR="004C7AE6" w:rsidRPr="00543DF7" w:rsidTr="00543DF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C7AE6" w:rsidRPr="00543DF7" w:rsidRDefault="004C7AE6">
            <w:pPr>
              <w:spacing w:before="120"/>
              <w:jc w:val="center"/>
              <w:rPr>
                <w:sz w:val="28"/>
              </w:rPr>
            </w:pPr>
            <w:r w:rsidRPr="00543DF7">
              <w:rPr>
                <w:sz w:val="28"/>
              </w:rPr>
              <w:t xml:space="preserve">Số: </w:t>
            </w:r>
            <w:r w:rsidR="00543DF7" w:rsidRPr="00543DF7">
              <w:rPr>
                <w:sz w:val="28"/>
                <w:lang w:val="en-US"/>
              </w:rPr>
              <w:t xml:space="preserve">     </w:t>
            </w:r>
            <w:r w:rsidRPr="00543DF7">
              <w:rPr>
                <w:sz w:val="28"/>
              </w:rPr>
              <w:t>/2019/QĐ-UBND</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4C7AE6" w:rsidRPr="00543DF7" w:rsidRDefault="00543DF7" w:rsidP="00543DF7">
            <w:pPr>
              <w:spacing w:before="120"/>
              <w:jc w:val="right"/>
              <w:rPr>
                <w:sz w:val="28"/>
              </w:rPr>
            </w:pPr>
            <w:r w:rsidRPr="00543DF7">
              <w:rPr>
                <w:i/>
                <w:iCs/>
                <w:sz w:val="28"/>
              </w:rPr>
              <w:t>Quảng Trị</w:t>
            </w:r>
            <w:r w:rsidR="004C7AE6" w:rsidRPr="00543DF7">
              <w:rPr>
                <w:i/>
                <w:iCs/>
                <w:sz w:val="28"/>
              </w:rPr>
              <w:t xml:space="preserve">, ngày </w:t>
            </w:r>
            <w:r w:rsidRPr="00543DF7">
              <w:rPr>
                <w:i/>
                <w:iCs/>
                <w:sz w:val="28"/>
              </w:rPr>
              <w:t xml:space="preserve">   </w:t>
            </w:r>
            <w:r w:rsidR="004C7AE6" w:rsidRPr="00543DF7">
              <w:rPr>
                <w:i/>
                <w:iCs/>
                <w:sz w:val="28"/>
              </w:rPr>
              <w:t xml:space="preserve"> tháng </w:t>
            </w:r>
            <w:r w:rsidRPr="00543DF7">
              <w:rPr>
                <w:i/>
                <w:iCs/>
                <w:sz w:val="28"/>
              </w:rPr>
              <w:t xml:space="preserve">  </w:t>
            </w:r>
            <w:r w:rsidR="004C7AE6" w:rsidRPr="00543DF7">
              <w:rPr>
                <w:i/>
                <w:iCs/>
                <w:sz w:val="28"/>
              </w:rPr>
              <w:t xml:space="preserve"> năm 2019</w:t>
            </w:r>
          </w:p>
        </w:tc>
      </w:tr>
    </w:tbl>
    <w:p w:rsidR="004C7AE6" w:rsidRPr="00C357D9" w:rsidRDefault="004C7AE6">
      <w:pPr>
        <w:spacing w:before="120" w:after="280" w:afterAutospacing="1"/>
        <w:rPr>
          <w:b/>
          <w:sz w:val="28"/>
        </w:rPr>
      </w:pPr>
      <w:r w:rsidRPr="006F6180">
        <w:rPr>
          <w:b/>
          <w:sz w:val="28"/>
        </w:rPr>
        <w:t> </w:t>
      </w:r>
      <w:r w:rsidR="006F6180" w:rsidRPr="00C357D9">
        <w:rPr>
          <w:b/>
          <w:sz w:val="28"/>
        </w:rPr>
        <w:t>Dự thảo</w:t>
      </w:r>
    </w:p>
    <w:p w:rsidR="004C7AE6" w:rsidRPr="00C357D9" w:rsidRDefault="004C7AE6">
      <w:pPr>
        <w:spacing w:before="120" w:after="280" w:afterAutospacing="1"/>
        <w:jc w:val="center"/>
        <w:rPr>
          <w:b/>
          <w:bCs/>
          <w:sz w:val="28"/>
        </w:rPr>
      </w:pPr>
      <w:r w:rsidRPr="00543DF7">
        <w:rPr>
          <w:b/>
          <w:bCs/>
          <w:sz w:val="28"/>
        </w:rPr>
        <w:t>QUYẾT ĐỊNH</w:t>
      </w:r>
    </w:p>
    <w:p w:rsidR="00543DF7" w:rsidRPr="00543DF7" w:rsidRDefault="00543DF7">
      <w:pPr>
        <w:spacing w:before="120" w:after="280" w:afterAutospacing="1"/>
        <w:jc w:val="center"/>
        <w:rPr>
          <w:b/>
          <w:sz w:val="28"/>
        </w:rPr>
      </w:pPr>
      <w:r w:rsidRPr="00C357D9">
        <w:rPr>
          <w:b/>
          <w:sz w:val="28"/>
        </w:rPr>
        <w:t>Q</w:t>
      </w:r>
      <w:r w:rsidRPr="00543DF7">
        <w:rPr>
          <w:b/>
          <w:sz w:val="28"/>
        </w:rPr>
        <w:t xml:space="preserve">uy định tiêu chuẩn, định mức diện tích chuyên dùng </w:t>
      </w:r>
      <w:r w:rsidR="005D7312" w:rsidRPr="00C357D9">
        <w:rPr>
          <w:b/>
          <w:sz w:val="28"/>
        </w:rPr>
        <w:t xml:space="preserve">của các cơ quan, tổ chức </w:t>
      </w:r>
      <w:r w:rsidRPr="00543DF7">
        <w:rPr>
          <w:b/>
          <w:sz w:val="28"/>
        </w:rPr>
        <w:t xml:space="preserve">và phân cấp thẩm quyền </w:t>
      </w:r>
      <w:r w:rsidRPr="00C357D9">
        <w:rPr>
          <w:b/>
          <w:sz w:val="28"/>
        </w:rPr>
        <w:t>ban hành</w:t>
      </w:r>
      <w:r>
        <w:rPr>
          <w:b/>
          <w:sz w:val="28"/>
        </w:rPr>
        <w:t xml:space="preserve"> định mức </w:t>
      </w:r>
      <w:r w:rsidRPr="00C357D9">
        <w:rPr>
          <w:b/>
          <w:sz w:val="28"/>
        </w:rPr>
        <w:t>diện tích</w:t>
      </w:r>
      <w:r w:rsidRPr="00543DF7">
        <w:rPr>
          <w:b/>
          <w:sz w:val="28"/>
        </w:rPr>
        <w:t xml:space="preserve"> công trình sự nghiệp của </w:t>
      </w:r>
      <w:r w:rsidRPr="00C357D9">
        <w:rPr>
          <w:b/>
          <w:sz w:val="28"/>
        </w:rPr>
        <w:t>đơn vị</w:t>
      </w:r>
      <w:r w:rsidRPr="00543DF7">
        <w:rPr>
          <w:b/>
          <w:sz w:val="28"/>
        </w:rPr>
        <w:t xml:space="preserve"> </w:t>
      </w:r>
      <w:r w:rsidR="005D7312" w:rsidRPr="00C357D9">
        <w:rPr>
          <w:b/>
          <w:sz w:val="28"/>
        </w:rPr>
        <w:t xml:space="preserve">sự nghiệp </w:t>
      </w:r>
      <w:r w:rsidRPr="00543DF7">
        <w:rPr>
          <w:b/>
          <w:sz w:val="28"/>
        </w:rPr>
        <w:t>thuộc phạm vi quản lý của tỉnh Quảng Trị</w:t>
      </w:r>
    </w:p>
    <w:p w:rsidR="004C7AE6" w:rsidRPr="00C357D9" w:rsidRDefault="004C7AE6">
      <w:pPr>
        <w:spacing w:before="120" w:after="280" w:afterAutospacing="1"/>
        <w:jc w:val="center"/>
        <w:rPr>
          <w:sz w:val="28"/>
        </w:rPr>
      </w:pPr>
      <w:r w:rsidRPr="00543DF7">
        <w:rPr>
          <w:b/>
          <w:bCs/>
          <w:sz w:val="28"/>
        </w:rPr>
        <w:t>ỦY BAN NHÂN DÂN TỈNH</w:t>
      </w:r>
      <w:r w:rsidR="00543DF7" w:rsidRPr="00C357D9">
        <w:rPr>
          <w:b/>
          <w:bCs/>
          <w:sz w:val="28"/>
        </w:rPr>
        <w:t xml:space="preserve"> QUẢNG TRỊ</w:t>
      </w:r>
    </w:p>
    <w:p w:rsidR="004C7AE6" w:rsidRPr="00543DF7" w:rsidRDefault="004C7AE6" w:rsidP="00543DF7">
      <w:pPr>
        <w:spacing w:before="120"/>
        <w:ind w:firstLine="720"/>
        <w:jc w:val="both"/>
        <w:rPr>
          <w:sz w:val="28"/>
        </w:rPr>
      </w:pPr>
      <w:r w:rsidRPr="00543DF7">
        <w:rPr>
          <w:i/>
          <w:iCs/>
          <w:sz w:val="28"/>
        </w:rPr>
        <w:t>Căn cứ Luật Tổ chức chính quyền địa phương ngày 19/6/2015;</w:t>
      </w:r>
    </w:p>
    <w:p w:rsidR="004C7AE6" w:rsidRPr="00543DF7" w:rsidRDefault="004C7AE6" w:rsidP="00543DF7">
      <w:pPr>
        <w:spacing w:before="120"/>
        <w:ind w:firstLine="720"/>
        <w:jc w:val="both"/>
        <w:rPr>
          <w:sz w:val="28"/>
        </w:rPr>
      </w:pPr>
      <w:r w:rsidRPr="00543DF7">
        <w:rPr>
          <w:i/>
          <w:iCs/>
          <w:sz w:val="28"/>
        </w:rPr>
        <w:t>Căn cứ Luật Ban hành văn bản quy phạm pháp luật ngày 22/6/2015;</w:t>
      </w:r>
    </w:p>
    <w:p w:rsidR="004C7AE6" w:rsidRPr="00543DF7" w:rsidRDefault="004C7AE6" w:rsidP="00543DF7">
      <w:pPr>
        <w:spacing w:before="120"/>
        <w:ind w:firstLine="720"/>
        <w:jc w:val="both"/>
        <w:rPr>
          <w:sz w:val="28"/>
        </w:rPr>
      </w:pPr>
      <w:r w:rsidRPr="00543DF7">
        <w:rPr>
          <w:i/>
          <w:iCs/>
          <w:sz w:val="28"/>
        </w:rPr>
        <w:t>Căn cứ Luật Quản lý, sử dụng tài sản công ngày 21/6/2017;</w:t>
      </w:r>
    </w:p>
    <w:p w:rsidR="004C7AE6" w:rsidRPr="00543DF7" w:rsidRDefault="004C7AE6" w:rsidP="00543DF7">
      <w:pPr>
        <w:spacing w:before="120"/>
        <w:ind w:firstLine="720"/>
        <w:jc w:val="both"/>
        <w:rPr>
          <w:sz w:val="28"/>
        </w:rPr>
      </w:pPr>
      <w:r w:rsidRPr="00543DF7">
        <w:rPr>
          <w:i/>
          <w:iCs/>
          <w:sz w:val="28"/>
        </w:rPr>
        <w:t>Căn cứ Nghị định số 152/2017/NĐ-CP ngày 27/12/2017 của Chính phủ quy định tiêu chuẩn, định mức sử dụng trụ sở làm việc, cơ sở hoạt động sự nghiệp;</w:t>
      </w:r>
    </w:p>
    <w:p w:rsidR="004C7AE6" w:rsidRPr="00543DF7" w:rsidRDefault="004C7AE6" w:rsidP="00543DF7">
      <w:pPr>
        <w:spacing w:before="120"/>
        <w:ind w:firstLine="720"/>
        <w:jc w:val="both"/>
        <w:rPr>
          <w:sz w:val="28"/>
        </w:rPr>
      </w:pPr>
      <w:r w:rsidRPr="00543DF7">
        <w:rPr>
          <w:i/>
          <w:iCs/>
          <w:sz w:val="28"/>
        </w:rPr>
        <w:t xml:space="preserve">Xét đề nghị của Giám đốc Sở Tài chính tại Tờ trình số </w:t>
      </w:r>
      <w:r w:rsidR="00543DF7" w:rsidRPr="00543DF7">
        <w:rPr>
          <w:i/>
          <w:iCs/>
          <w:sz w:val="28"/>
        </w:rPr>
        <w:t xml:space="preserve">    </w:t>
      </w:r>
      <w:r w:rsidR="00543DF7">
        <w:rPr>
          <w:i/>
          <w:iCs/>
          <w:sz w:val="28"/>
        </w:rPr>
        <w:t>TTr-STC ngày /</w:t>
      </w:r>
      <w:r w:rsidR="00543DF7" w:rsidRPr="00543DF7">
        <w:rPr>
          <w:i/>
          <w:iCs/>
          <w:sz w:val="28"/>
        </w:rPr>
        <w:t xml:space="preserve"> </w:t>
      </w:r>
      <w:r w:rsidRPr="00543DF7">
        <w:rPr>
          <w:i/>
          <w:iCs/>
          <w:sz w:val="28"/>
        </w:rPr>
        <w:t>/2019; ý kiến thống nhất của Thường trực Hội đồng nhân dân tỉnh tại Công văn số</w:t>
      </w:r>
      <w:r w:rsidR="00543DF7">
        <w:rPr>
          <w:i/>
          <w:iCs/>
          <w:sz w:val="28"/>
        </w:rPr>
        <w:t xml:space="preserve"> /HĐND-VP ngày </w:t>
      </w:r>
      <w:r w:rsidRPr="00543DF7">
        <w:rPr>
          <w:i/>
          <w:iCs/>
          <w:sz w:val="28"/>
        </w:rPr>
        <w:t>/</w:t>
      </w:r>
      <w:r w:rsidR="00543DF7" w:rsidRPr="00543DF7">
        <w:rPr>
          <w:i/>
          <w:iCs/>
          <w:sz w:val="28"/>
        </w:rPr>
        <w:t xml:space="preserve"> </w:t>
      </w:r>
      <w:r w:rsidRPr="00543DF7">
        <w:rPr>
          <w:i/>
          <w:iCs/>
          <w:sz w:val="28"/>
        </w:rPr>
        <w:t>/2019,</w:t>
      </w:r>
    </w:p>
    <w:p w:rsidR="004C7AE6" w:rsidRPr="00543DF7" w:rsidRDefault="004C7AE6">
      <w:pPr>
        <w:spacing w:before="120" w:after="280" w:afterAutospacing="1"/>
        <w:jc w:val="center"/>
        <w:rPr>
          <w:sz w:val="28"/>
        </w:rPr>
      </w:pPr>
      <w:r w:rsidRPr="00543DF7">
        <w:rPr>
          <w:b/>
          <w:bCs/>
          <w:sz w:val="28"/>
        </w:rPr>
        <w:t>QUYẾT ĐỊNH:</w:t>
      </w:r>
    </w:p>
    <w:p w:rsidR="004C7AE6" w:rsidRPr="006F6180" w:rsidRDefault="004C7AE6" w:rsidP="006F6180">
      <w:pPr>
        <w:spacing w:before="120"/>
        <w:ind w:firstLine="720"/>
        <w:jc w:val="both"/>
        <w:rPr>
          <w:sz w:val="28"/>
          <w:szCs w:val="28"/>
        </w:rPr>
      </w:pPr>
      <w:r w:rsidRPr="006F6180">
        <w:rPr>
          <w:b/>
          <w:bCs/>
          <w:sz w:val="28"/>
          <w:szCs w:val="28"/>
        </w:rPr>
        <w:t>Điều 1. Phạm vi điều chỉnh</w:t>
      </w:r>
    </w:p>
    <w:p w:rsidR="004C7AE6" w:rsidRPr="00D668A5" w:rsidRDefault="004C7AE6" w:rsidP="00D668A5">
      <w:pPr>
        <w:spacing w:before="120"/>
        <w:ind w:firstLine="720"/>
        <w:jc w:val="both"/>
        <w:rPr>
          <w:sz w:val="28"/>
          <w:szCs w:val="28"/>
        </w:rPr>
      </w:pPr>
      <w:r w:rsidRPr="006F6180">
        <w:rPr>
          <w:sz w:val="28"/>
          <w:szCs w:val="28"/>
        </w:rPr>
        <w:t>Quyết định này quy định tiêu chuẩn, định mức sử d</w:t>
      </w:r>
      <w:r w:rsidR="003555C9">
        <w:rPr>
          <w:sz w:val="28"/>
          <w:szCs w:val="28"/>
        </w:rPr>
        <w:t>ụng diện tích chuyên dùng</w:t>
      </w:r>
      <w:r w:rsidR="003555C9" w:rsidRPr="001213EA">
        <w:rPr>
          <w:sz w:val="28"/>
          <w:szCs w:val="28"/>
        </w:rPr>
        <w:t xml:space="preserve"> </w:t>
      </w:r>
      <w:r w:rsidRPr="006F6180">
        <w:rPr>
          <w:sz w:val="28"/>
          <w:szCs w:val="28"/>
        </w:rPr>
        <w:t>và phân cấp thẩm quyền quy định tiêu chuẩn, định mức sử dụng công trình sự nghiệp</w:t>
      </w:r>
      <w:r w:rsidR="00D668A5" w:rsidRPr="00D668A5">
        <w:rPr>
          <w:sz w:val="28"/>
          <w:szCs w:val="28"/>
        </w:rPr>
        <w:t xml:space="preserve"> làm cơ sở đầu tư xây dựng, mua sắm, thuê, sửa chữa, cải tạo trụ sở làm việc và cơ sở hoạt động sự nghiệp tại </w:t>
      </w:r>
      <w:r w:rsidR="00D668A5">
        <w:rPr>
          <w:sz w:val="28"/>
          <w:szCs w:val="28"/>
        </w:rPr>
        <w:t>của các cơ quan, tổ chức</w:t>
      </w:r>
      <w:r w:rsidR="00D668A5" w:rsidRPr="00D668A5">
        <w:rPr>
          <w:sz w:val="28"/>
          <w:szCs w:val="28"/>
        </w:rPr>
        <w:t xml:space="preserve">, đơn vị </w:t>
      </w:r>
      <w:r w:rsidRPr="006F6180">
        <w:rPr>
          <w:sz w:val="28"/>
          <w:szCs w:val="28"/>
        </w:rPr>
        <w:t>thuộc phạm vi quản lý của tỉnh</w:t>
      </w:r>
      <w:r w:rsidR="00543DF7" w:rsidRPr="006F6180">
        <w:rPr>
          <w:sz w:val="28"/>
          <w:szCs w:val="28"/>
        </w:rPr>
        <w:t xml:space="preserve"> Quảng Trị</w:t>
      </w:r>
      <w:r w:rsidR="0051276F" w:rsidRPr="0051276F">
        <w:rPr>
          <w:sz w:val="28"/>
          <w:szCs w:val="28"/>
        </w:rPr>
        <w:t>.</w:t>
      </w:r>
    </w:p>
    <w:p w:rsidR="004C7AE6" w:rsidRPr="006F6180" w:rsidRDefault="004C7AE6" w:rsidP="006F6180">
      <w:pPr>
        <w:spacing w:before="120"/>
        <w:ind w:firstLine="720"/>
        <w:jc w:val="both"/>
        <w:rPr>
          <w:sz w:val="28"/>
          <w:szCs w:val="28"/>
        </w:rPr>
      </w:pPr>
      <w:r w:rsidRPr="006F6180">
        <w:rPr>
          <w:b/>
          <w:bCs/>
          <w:sz w:val="28"/>
          <w:szCs w:val="28"/>
        </w:rPr>
        <w:t>Điều 2. Đối tượng áp dụng</w:t>
      </w:r>
    </w:p>
    <w:p w:rsidR="004C7AE6" w:rsidRPr="006F6180" w:rsidRDefault="004C7AE6" w:rsidP="006F6180">
      <w:pPr>
        <w:spacing w:before="120"/>
        <w:ind w:firstLine="720"/>
        <w:jc w:val="both"/>
        <w:rPr>
          <w:sz w:val="28"/>
          <w:szCs w:val="28"/>
        </w:rPr>
      </w:pPr>
      <w:r w:rsidRPr="006F6180">
        <w:rPr>
          <w:sz w:val="28"/>
          <w:szCs w:val="28"/>
        </w:rPr>
        <w:t xml:space="preserve">Cơ quan nhà nước, </w:t>
      </w:r>
      <w:r w:rsidR="001F061D" w:rsidRPr="00906F44">
        <w:rPr>
          <w:sz w:val="28"/>
          <w:szCs w:val="28"/>
        </w:rPr>
        <w:t>cơ quan Đảng Cộng sản Việt Nam</w:t>
      </w:r>
      <w:r w:rsidRPr="006F6180">
        <w:rPr>
          <w:sz w:val="28"/>
          <w:szCs w:val="28"/>
        </w:rPr>
        <w:t>, tổ chức chính trị - xã hội được ngân sách nhà nước đảm bảo kinh phí hoạt động, đơn vị sự nghiệp công lập</w:t>
      </w:r>
      <w:r w:rsidR="001213EA" w:rsidRPr="001213EA">
        <w:rPr>
          <w:sz w:val="28"/>
          <w:szCs w:val="28"/>
        </w:rPr>
        <w:t xml:space="preserve"> (trừ </w:t>
      </w:r>
      <w:r w:rsidR="001213EA" w:rsidRPr="006F6180">
        <w:rPr>
          <w:sz w:val="28"/>
          <w:szCs w:val="28"/>
        </w:rPr>
        <w:t>đơn vị sự nghiệp công lập tự đảm bảo chi thường xuyên và chi đầu tư</w:t>
      </w:r>
      <w:r w:rsidR="001213EA" w:rsidRPr="001213EA">
        <w:rPr>
          <w:sz w:val="28"/>
          <w:szCs w:val="28"/>
        </w:rPr>
        <w:t>)</w:t>
      </w:r>
      <w:r w:rsidRPr="006F6180">
        <w:rPr>
          <w:sz w:val="28"/>
          <w:szCs w:val="28"/>
        </w:rPr>
        <w:t>, Ban Quản lý dự án sử dụng vốn nhà nước</w:t>
      </w:r>
      <w:r w:rsidR="00906F44" w:rsidRPr="00906F44">
        <w:rPr>
          <w:sz w:val="28"/>
          <w:szCs w:val="28"/>
        </w:rPr>
        <w:t>.</w:t>
      </w:r>
      <w:r w:rsidRPr="006F6180">
        <w:rPr>
          <w:sz w:val="28"/>
          <w:szCs w:val="28"/>
        </w:rPr>
        <w:t xml:space="preserve"> </w:t>
      </w:r>
    </w:p>
    <w:p w:rsidR="004C7AE6" w:rsidRPr="006F6180" w:rsidRDefault="004C7AE6" w:rsidP="006F6180">
      <w:pPr>
        <w:spacing w:before="120"/>
        <w:ind w:firstLine="720"/>
        <w:jc w:val="both"/>
        <w:rPr>
          <w:sz w:val="28"/>
          <w:szCs w:val="28"/>
        </w:rPr>
      </w:pPr>
      <w:r w:rsidRPr="006F6180">
        <w:rPr>
          <w:sz w:val="28"/>
          <w:szCs w:val="28"/>
        </w:rPr>
        <w:t>Quyết định này không áp dụng đối với tiêu chuẩn, định mức sử dụng diện tích chuyên dùng của đơn vị lực lượng vũ trang nhân dân thuộc Bộ Quốc phòng, Bộ Công an đóng trên địa bàn tỉnh</w:t>
      </w:r>
      <w:r w:rsidR="001E7151" w:rsidRPr="001E7151">
        <w:rPr>
          <w:sz w:val="28"/>
          <w:szCs w:val="28"/>
        </w:rPr>
        <w:t>.</w:t>
      </w:r>
      <w:r w:rsidRPr="006F6180">
        <w:rPr>
          <w:sz w:val="28"/>
          <w:szCs w:val="28"/>
        </w:rPr>
        <w:t xml:space="preserve"> </w:t>
      </w:r>
    </w:p>
    <w:p w:rsidR="004C7AE6" w:rsidRPr="0036017E" w:rsidRDefault="004C7AE6" w:rsidP="006F6180">
      <w:pPr>
        <w:spacing w:before="120"/>
        <w:ind w:firstLine="720"/>
        <w:jc w:val="both"/>
        <w:rPr>
          <w:b/>
          <w:bCs/>
          <w:sz w:val="28"/>
          <w:szCs w:val="28"/>
        </w:rPr>
      </w:pPr>
      <w:r w:rsidRPr="006F6180">
        <w:rPr>
          <w:b/>
          <w:bCs/>
          <w:sz w:val="28"/>
          <w:szCs w:val="28"/>
        </w:rPr>
        <w:lastRenderedPageBreak/>
        <w:t xml:space="preserve">Điều 3. Tiêu chuẩn, định mức sử dụng diện tích chuyên dùng </w:t>
      </w:r>
      <w:r w:rsidR="009661D2" w:rsidRPr="009661D2">
        <w:rPr>
          <w:b/>
          <w:bCs/>
          <w:sz w:val="28"/>
          <w:szCs w:val="28"/>
        </w:rPr>
        <w:t>của các cơ quan, tổ chức</w:t>
      </w:r>
    </w:p>
    <w:p w:rsidR="005C03F8" w:rsidRPr="0036017E" w:rsidRDefault="005C03F8" w:rsidP="006F6180">
      <w:pPr>
        <w:spacing w:before="120"/>
        <w:ind w:firstLine="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36"/>
        <w:gridCol w:w="1560"/>
        <w:gridCol w:w="1559"/>
        <w:gridCol w:w="1291"/>
      </w:tblGrid>
      <w:tr w:rsidR="00906F44" w:rsidRPr="0036017E" w:rsidTr="0036017E">
        <w:tc>
          <w:tcPr>
            <w:tcW w:w="675" w:type="dxa"/>
          </w:tcPr>
          <w:p w:rsidR="00906F44" w:rsidRPr="0036017E" w:rsidRDefault="005C03F8" w:rsidP="0036017E">
            <w:pPr>
              <w:spacing w:before="120" w:after="280" w:afterAutospacing="1"/>
              <w:jc w:val="center"/>
              <w:rPr>
                <w:b/>
                <w:sz w:val="28"/>
                <w:szCs w:val="28"/>
                <w:lang w:val="en-US"/>
              </w:rPr>
            </w:pPr>
            <w:r w:rsidRPr="0036017E">
              <w:rPr>
                <w:b/>
                <w:sz w:val="28"/>
                <w:szCs w:val="28"/>
                <w:lang w:val="en-US"/>
              </w:rPr>
              <w:t>St</w:t>
            </w:r>
            <w:r w:rsidR="00906F44" w:rsidRPr="0036017E">
              <w:rPr>
                <w:b/>
                <w:sz w:val="28"/>
                <w:szCs w:val="28"/>
                <w:lang w:val="en-US"/>
              </w:rPr>
              <w:t>t</w:t>
            </w:r>
          </w:p>
        </w:tc>
        <w:tc>
          <w:tcPr>
            <w:tcW w:w="4536" w:type="dxa"/>
          </w:tcPr>
          <w:p w:rsidR="00906F44" w:rsidRPr="0036017E" w:rsidRDefault="00906F44" w:rsidP="0036017E">
            <w:pPr>
              <w:spacing w:before="120" w:after="280" w:afterAutospacing="1"/>
              <w:jc w:val="center"/>
              <w:rPr>
                <w:b/>
                <w:sz w:val="28"/>
                <w:szCs w:val="28"/>
                <w:lang w:val="en-US"/>
              </w:rPr>
            </w:pPr>
            <w:r w:rsidRPr="0036017E">
              <w:rPr>
                <w:b/>
                <w:sz w:val="28"/>
                <w:szCs w:val="28"/>
                <w:lang w:val="en-US"/>
              </w:rPr>
              <w:t>Diện tích chuyên dùng</w:t>
            </w:r>
          </w:p>
        </w:tc>
        <w:tc>
          <w:tcPr>
            <w:tcW w:w="4410" w:type="dxa"/>
            <w:gridSpan w:val="3"/>
          </w:tcPr>
          <w:p w:rsidR="00906F44" w:rsidRPr="0036017E" w:rsidRDefault="00906F44" w:rsidP="0036017E">
            <w:pPr>
              <w:spacing w:before="120" w:after="280" w:afterAutospacing="1"/>
              <w:jc w:val="center"/>
              <w:rPr>
                <w:b/>
                <w:sz w:val="28"/>
                <w:szCs w:val="28"/>
                <w:lang w:val="en-US"/>
              </w:rPr>
            </w:pPr>
            <w:r w:rsidRPr="0036017E">
              <w:rPr>
                <w:b/>
                <w:sz w:val="28"/>
                <w:szCs w:val="28"/>
                <w:lang w:val="en-US"/>
              </w:rPr>
              <w:t>Diện tích tối đa (m2)</w:t>
            </w:r>
          </w:p>
        </w:tc>
      </w:tr>
      <w:tr w:rsidR="00906F44" w:rsidRPr="0036017E" w:rsidTr="0036017E">
        <w:tc>
          <w:tcPr>
            <w:tcW w:w="675" w:type="dxa"/>
          </w:tcPr>
          <w:p w:rsidR="00906F44" w:rsidRPr="0036017E" w:rsidRDefault="00906F44" w:rsidP="0036017E">
            <w:pPr>
              <w:spacing w:before="120" w:after="280" w:afterAutospacing="1"/>
              <w:jc w:val="center"/>
              <w:rPr>
                <w:b/>
                <w:sz w:val="28"/>
                <w:szCs w:val="28"/>
                <w:lang w:val="en-US"/>
              </w:rPr>
            </w:pPr>
          </w:p>
        </w:tc>
        <w:tc>
          <w:tcPr>
            <w:tcW w:w="4536" w:type="dxa"/>
          </w:tcPr>
          <w:p w:rsidR="00906F44" w:rsidRPr="0036017E" w:rsidRDefault="00906F44" w:rsidP="0036017E">
            <w:pPr>
              <w:spacing w:before="120" w:after="280" w:afterAutospacing="1"/>
              <w:jc w:val="center"/>
              <w:rPr>
                <w:b/>
                <w:sz w:val="28"/>
                <w:szCs w:val="28"/>
                <w:lang w:val="en-US"/>
              </w:rPr>
            </w:pPr>
          </w:p>
        </w:tc>
        <w:tc>
          <w:tcPr>
            <w:tcW w:w="1560" w:type="dxa"/>
          </w:tcPr>
          <w:p w:rsidR="00906F44" w:rsidRPr="0036017E" w:rsidRDefault="00906F44" w:rsidP="0036017E">
            <w:pPr>
              <w:spacing w:before="120" w:after="280" w:afterAutospacing="1"/>
              <w:jc w:val="center"/>
              <w:rPr>
                <w:b/>
                <w:sz w:val="28"/>
                <w:szCs w:val="28"/>
                <w:lang w:val="en-US"/>
              </w:rPr>
            </w:pPr>
            <w:r w:rsidRPr="0036017E">
              <w:rPr>
                <w:b/>
                <w:sz w:val="28"/>
                <w:szCs w:val="28"/>
                <w:lang w:val="en-US"/>
              </w:rPr>
              <w:t>Cấp tỉnh</w:t>
            </w:r>
          </w:p>
        </w:tc>
        <w:tc>
          <w:tcPr>
            <w:tcW w:w="1559" w:type="dxa"/>
          </w:tcPr>
          <w:p w:rsidR="00906F44" w:rsidRPr="0036017E" w:rsidRDefault="00906F44" w:rsidP="0036017E">
            <w:pPr>
              <w:spacing w:before="120" w:after="280" w:afterAutospacing="1"/>
              <w:jc w:val="center"/>
              <w:rPr>
                <w:b/>
                <w:sz w:val="28"/>
                <w:szCs w:val="28"/>
                <w:lang w:val="en-US"/>
              </w:rPr>
            </w:pPr>
            <w:r w:rsidRPr="0036017E">
              <w:rPr>
                <w:b/>
                <w:sz w:val="28"/>
                <w:szCs w:val="28"/>
                <w:lang w:val="en-US"/>
              </w:rPr>
              <w:t>Cấp huyện</w:t>
            </w:r>
          </w:p>
        </w:tc>
        <w:tc>
          <w:tcPr>
            <w:tcW w:w="1291" w:type="dxa"/>
          </w:tcPr>
          <w:p w:rsidR="00906F44" w:rsidRPr="0036017E" w:rsidRDefault="00906F44" w:rsidP="0036017E">
            <w:pPr>
              <w:spacing w:before="120" w:after="280" w:afterAutospacing="1"/>
              <w:jc w:val="center"/>
              <w:rPr>
                <w:b/>
                <w:sz w:val="28"/>
                <w:szCs w:val="28"/>
                <w:lang w:val="en-US"/>
              </w:rPr>
            </w:pPr>
            <w:r w:rsidRPr="0036017E">
              <w:rPr>
                <w:b/>
                <w:sz w:val="28"/>
                <w:szCs w:val="28"/>
                <w:lang w:val="en-US"/>
              </w:rPr>
              <w:t>Cấp xã</w:t>
            </w:r>
          </w:p>
        </w:tc>
      </w:tr>
      <w:tr w:rsidR="00906F44" w:rsidRPr="0036017E" w:rsidTr="00EF1CA4">
        <w:tc>
          <w:tcPr>
            <w:tcW w:w="675" w:type="dxa"/>
            <w:vAlign w:val="center"/>
          </w:tcPr>
          <w:p w:rsidR="00906F44" w:rsidRPr="0036017E" w:rsidRDefault="00906F44" w:rsidP="00EF1CA4">
            <w:pPr>
              <w:spacing w:before="120" w:after="280" w:afterAutospacing="1"/>
              <w:rPr>
                <w:sz w:val="28"/>
                <w:szCs w:val="28"/>
                <w:lang w:val="en-US"/>
              </w:rPr>
            </w:pPr>
            <w:r w:rsidRPr="0036017E">
              <w:rPr>
                <w:sz w:val="28"/>
                <w:szCs w:val="28"/>
                <w:lang w:val="en-US"/>
              </w:rPr>
              <w:t>1</w:t>
            </w:r>
          </w:p>
        </w:tc>
        <w:tc>
          <w:tcPr>
            <w:tcW w:w="4536" w:type="dxa"/>
            <w:vAlign w:val="center"/>
          </w:tcPr>
          <w:p w:rsidR="00906F44" w:rsidRPr="0036017E" w:rsidRDefault="005C03F8" w:rsidP="00EF1CA4">
            <w:pPr>
              <w:spacing w:before="120" w:after="280" w:afterAutospacing="1"/>
              <w:rPr>
                <w:sz w:val="28"/>
                <w:szCs w:val="28"/>
                <w:lang w:val="en-US"/>
              </w:rPr>
            </w:pPr>
            <w:r w:rsidRPr="0036017E">
              <w:rPr>
                <w:sz w:val="28"/>
                <w:szCs w:val="28"/>
                <w:lang w:val="en-US"/>
              </w:rPr>
              <w:t>Diện tích sử dụng cho hoạt động tiếp nhận và trả hồ sơ hành chính</w:t>
            </w:r>
          </w:p>
        </w:tc>
        <w:tc>
          <w:tcPr>
            <w:tcW w:w="1560" w:type="dxa"/>
            <w:vAlign w:val="center"/>
          </w:tcPr>
          <w:p w:rsidR="00906F44" w:rsidRPr="0036017E" w:rsidRDefault="00906F44" w:rsidP="00EF1CA4">
            <w:pPr>
              <w:spacing w:before="120" w:after="280" w:afterAutospacing="1"/>
              <w:rPr>
                <w:sz w:val="28"/>
                <w:szCs w:val="28"/>
                <w:lang w:val="en-US"/>
              </w:rPr>
            </w:pPr>
          </w:p>
        </w:tc>
        <w:tc>
          <w:tcPr>
            <w:tcW w:w="1559" w:type="dxa"/>
          </w:tcPr>
          <w:p w:rsidR="00906F44" w:rsidRPr="0036017E" w:rsidRDefault="00906F44" w:rsidP="0036017E">
            <w:pPr>
              <w:spacing w:before="120" w:after="280" w:afterAutospacing="1"/>
              <w:rPr>
                <w:sz w:val="28"/>
                <w:szCs w:val="28"/>
                <w:lang w:val="en-US"/>
              </w:rPr>
            </w:pPr>
          </w:p>
        </w:tc>
        <w:tc>
          <w:tcPr>
            <w:tcW w:w="1291" w:type="dxa"/>
          </w:tcPr>
          <w:p w:rsidR="00906F44" w:rsidRPr="0036017E" w:rsidRDefault="00906F44" w:rsidP="0036017E">
            <w:pPr>
              <w:spacing w:before="120" w:after="280" w:afterAutospacing="1"/>
              <w:rPr>
                <w:sz w:val="28"/>
                <w:szCs w:val="28"/>
                <w:lang w:val="en-US"/>
              </w:rPr>
            </w:pPr>
          </w:p>
        </w:tc>
      </w:tr>
      <w:tr w:rsidR="00906F44" w:rsidRPr="0036017E" w:rsidTr="00EF1CA4">
        <w:tc>
          <w:tcPr>
            <w:tcW w:w="675" w:type="dxa"/>
            <w:vAlign w:val="center"/>
          </w:tcPr>
          <w:p w:rsidR="00906F44" w:rsidRPr="0036017E" w:rsidRDefault="005C03F8" w:rsidP="00EF1CA4">
            <w:pPr>
              <w:spacing w:before="120" w:after="280" w:afterAutospacing="1"/>
              <w:rPr>
                <w:sz w:val="28"/>
                <w:szCs w:val="28"/>
                <w:lang w:val="en-US"/>
              </w:rPr>
            </w:pPr>
            <w:r w:rsidRPr="0036017E">
              <w:rPr>
                <w:sz w:val="28"/>
                <w:szCs w:val="28"/>
                <w:lang w:val="en-US"/>
              </w:rPr>
              <w:t>1.1</w:t>
            </w:r>
          </w:p>
        </w:tc>
        <w:tc>
          <w:tcPr>
            <w:tcW w:w="4536" w:type="dxa"/>
            <w:vAlign w:val="center"/>
          </w:tcPr>
          <w:p w:rsidR="00906F44" w:rsidRPr="0036017E" w:rsidRDefault="005C03F8" w:rsidP="00EF1CA4">
            <w:pPr>
              <w:spacing w:before="120" w:after="280" w:afterAutospacing="1"/>
              <w:rPr>
                <w:sz w:val="28"/>
                <w:szCs w:val="28"/>
                <w:lang w:val="en-US"/>
              </w:rPr>
            </w:pPr>
            <w:r w:rsidRPr="0036017E">
              <w:rPr>
                <w:sz w:val="28"/>
                <w:szCs w:val="28"/>
                <w:lang w:val="en-US"/>
              </w:rPr>
              <w:t>Trung tâm hành chính công của tỉnh</w:t>
            </w:r>
          </w:p>
        </w:tc>
        <w:tc>
          <w:tcPr>
            <w:tcW w:w="1560" w:type="dxa"/>
            <w:vAlign w:val="center"/>
          </w:tcPr>
          <w:p w:rsidR="00906F44" w:rsidRPr="0036017E" w:rsidRDefault="009B4246" w:rsidP="00EF1CA4">
            <w:pPr>
              <w:spacing w:before="120" w:after="280" w:afterAutospacing="1"/>
              <w:jc w:val="center"/>
              <w:rPr>
                <w:sz w:val="28"/>
                <w:szCs w:val="28"/>
                <w:lang w:val="en-US"/>
              </w:rPr>
            </w:pPr>
            <w:r>
              <w:rPr>
                <w:sz w:val="28"/>
                <w:szCs w:val="28"/>
                <w:lang w:val="en-US"/>
              </w:rPr>
              <w:t>550</w:t>
            </w:r>
          </w:p>
        </w:tc>
        <w:tc>
          <w:tcPr>
            <w:tcW w:w="1559" w:type="dxa"/>
            <w:vAlign w:val="center"/>
          </w:tcPr>
          <w:p w:rsidR="00906F44" w:rsidRPr="0036017E" w:rsidRDefault="00906F44" w:rsidP="00EF1CA4">
            <w:pPr>
              <w:spacing w:before="120" w:after="280" w:afterAutospacing="1"/>
              <w:jc w:val="center"/>
              <w:rPr>
                <w:sz w:val="28"/>
                <w:szCs w:val="28"/>
                <w:lang w:val="en-US"/>
              </w:rPr>
            </w:pPr>
          </w:p>
        </w:tc>
        <w:tc>
          <w:tcPr>
            <w:tcW w:w="1291" w:type="dxa"/>
            <w:vAlign w:val="center"/>
          </w:tcPr>
          <w:p w:rsidR="00906F44" w:rsidRPr="0036017E" w:rsidRDefault="00906F44" w:rsidP="00EF1CA4">
            <w:pPr>
              <w:spacing w:before="120" w:after="280" w:afterAutospacing="1"/>
              <w:jc w:val="center"/>
              <w:rPr>
                <w:sz w:val="28"/>
                <w:szCs w:val="28"/>
                <w:lang w:val="en-US"/>
              </w:rPr>
            </w:pPr>
          </w:p>
        </w:tc>
      </w:tr>
      <w:tr w:rsidR="00906F44" w:rsidRPr="0036017E" w:rsidTr="00EF1CA4">
        <w:tc>
          <w:tcPr>
            <w:tcW w:w="675" w:type="dxa"/>
            <w:vAlign w:val="center"/>
          </w:tcPr>
          <w:p w:rsidR="00906F44" w:rsidRPr="0036017E" w:rsidRDefault="005C03F8" w:rsidP="00EF1CA4">
            <w:pPr>
              <w:spacing w:before="120" w:after="280" w:afterAutospacing="1"/>
              <w:rPr>
                <w:sz w:val="28"/>
                <w:szCs w:val="28"/>
                <w:lang w:val="en-US"/>
              </w:rPr>
            </w:pPr>
            <w:r w:rsidRPr="0036017E">
              <w:rPr>
                <w:sz w:val="28"/>
                <w:szCs w:val="28"/>
                <w:lang w:val="en-US"/>
              </w:rPr>
              <w:t>1.2</w:t>
            </w:r>
          </w:p>
        </w:tc>
        <w:tc>
          <w:tcPr>
            <w:tcW w:w="4536" w:type="dxa"/>
            <w:vAlign w:val="center"/>
          </w:tcPr>
          <w:p w:rsidR="00906F44" w:rsidRPr="0036017E" w:rsidRDefault="005C03F8" w:rsidP="00EF1CA4">
            <w:pPr>
              <w:spacing w:before="120" w:after="280" w:afterAutospacing="1"/>
              <w:rPr>
                <w:sz w:val="28"/>
                <w:szCs w:val="28"/>
                <w:lang w:val="en-US"/>
              </w:rPr>
            </w:pPr>
            <w:r w:rsidRPr="0036017E">
              <w:rPr>
                <w:sz w:val="28"/>
                <w:szCs w:val="28"/>
                <w:lang w:val="en-US"/>
              </w:rPr>
              <w:t>Cơ quan, tổ chức, đơn vị khác</w:t>
            </w:r>
          </w:p>
        </w:tc>
        <w:tc>
          <w:tcPr>
            <w:tcW w:w="1560" w:type="dxa"/>
            <w:vAlign w:val="center"/>
          </w:tcPr>
          <w:p w:rsidR="00906F44" w:rsidRPr="0036017E" w:rsidRDefault="005C03F8" w:rsidP="00EF1CA4">
            <w:pPr>
              <w:spacing w:before="120" w:after="280" w:afterAutospacing="1"/>
              <w:jc w:val="center"/>
              <w:rPr>
                <w:sz w:val="28"/>
                <w:szCs w:val="28"/>
                <w:lang w:val="en-US"/>
              </w:rPr>
            </w:pPr>
            <w:r w:rsidRPr="0036017E">
              <w:rPr>
                <w:sz w:val="28"/>
                <w:szCs w:val="28"/>
                <w:lang w:val="en-US"/>
              </w:rPr>
              <w:t>300</w:t>
            </w:r>
          </w:p>
        </w:tc>
        <w:tc>
          <w:tcPr>
            <w:tcW w:w="1559" w:type="dxa"/>
            <w:vAlign w:val="center"/>
          </w:tcPr>
          <w:p w:rsidR="00906F44" w:rsidRPr="0036017E" w:rsidRDefault="005C03F8" w:rsidP="00EF1CA4">
            <w:pPr>
              <w:spacing w:before="120" w:after="280" w:afterAutospacing="1"/>
              <w:jc w:val="center"/>
              <w:rPr>
                <w:sz w:val="28"/>
                <w:szCs w:val="28"/>
                <w:lang w:val="en-US"/>
              </w:rPr>
            </w:pPr>
            <w:r w:rsidRPr="0036017E">
              <w:rPr>
                <w:sz w:val="28"/>
                <w:szCs w:val="28"/>
                <w:lang w:val="en-US"/>
              </w:rPr>
              <w:t>300</w:t>
            </w:r>
          </w:p>
        </w:tc>
        <w:tc>
          <w:tcPr>
            <w:tcW w:w="1291" w:type="dxa"/>
            <w:vAlign w:val="center"/>
          </w:tcPr>
          <w:p w:rsidR="00906F44" w:rsidRPr="0036017E" w:rsidRDefault="005C03F8" w:rsidP="00EF1CA4">
            <w:pPr>
              <w:spacing w:before="120" w:after="280" w:afterAutospacing="1"/>
              <w:jc w:val="center"/>
              <w:rPr>
                <w:sz w:val="28"/>
                <w:szCs w:val="28"/>
                <w:lang w:val="en-US"/>
              </w:rPr>
            </w:pPr>
            <w:r w:rsidRPr="0036017E">
              <w:rPr>
                <w:sz w:val="28"/>
                <w:szCs w:val="28"/>
                <w:lang w:val="en-US"/>
              </w:rPr>
              <w:t>200</w:t>
            </w:r>
          </w:p>
        </w:tc>
      </w:tr>
      <w:tr w:rsidR="00906F44" w:rsidRPr="0036017E" w:rsidTr="00EF1CA4">
        <w:tc>
          <w:tcPr>
            <w:tcW w:w="675" w:type="dxa"/>
            <w:vAlign w:val="center"/>
          </w:tcPr>
          <w:p w:rsidR="00906F44" w:rsidRPr="0036017E" w:rsidRDefault="005C03F8" w:rsidP="00EF1CA4">
            <w:pPr>
              <w:spacing w:before="120" w:after="280" w:afterAutospacing="1"/>
              <w:rPr>
                <w:sz w:val="28"/>
                <w:szCs w:val="28"/>
                <w:lang w:val="en-US"/>
              </w:rPr>
            </w:pPr>
            <w:r w:rsidRPr="0036017E">
              <w:rPr>
                <w:sz w:val="28"/>
                <w:szCs w:val="28"/>
                <w:lang w:val="en-US"/>
              </w:rPr>
              <w:t>2</w:t>
            </w:r>
          </w:p>
        </w:tc>
        <w:tc>
          <w:tcPr>
            <w:tcW w:w="4536" w:type="dxa"/>
            <w:vAlign w:val="center"/>
          </w:tcPr>
          <w:p w:rsidR="00906F44" w:rsidRPr="0036017E" w:rsidRDefault="00CA14F8" w:rsidP="00EF1CA4">
            <w:pPr>
              <w:spacing w:before="120" w:after="280" w:afterAutospacing="1"/>
              <w:rPr>
                <w:sz w:val="28"/>
                <w:szCs w:val="28"/>
                <w:lang w:val="en-US"/>
              </w:rPr>
            </w:pPr>
            <w:r w:rsidRPr="0036017E">
              <w:rPr>
                <w:sz w:val="28"/>
                <w:szCs w:val="28"/>
                <w:lang w:val="en-US"/>
              </w:rPr>
              <w:t xml:space="preserve">Diện tích sử dụng </w:t>
            </w:r>
            <w:r w:rsidR="005C03F8" w:rsidRPr="0036017E">
              <w:rPr>
                <w:sz w:val="28"/>
                <w:szCs w:val="28"/>
                <w:lang w:val="en-US"/>
              </w:rPr>
              <w:t>tiếp dân</w:t>
            </w:r>
          </w:p>
        </w:tc>
        <w:tc>
          <w:tcPr>
            <w:tcW w:w="1560" w:type="dxa"/>
            <w:vAlign w:val="center"/>
          </w:tcPr>
          <w:p w:rsidR="00906F44" w:rsidRPr="0036017E" w:rsidRDefault="00906F44" w:rsidP="00EF1CA4">
            <w:pPr>
              <w:spacing w:before="120" w:after="280" w:afterAutospacing="1"/>
              <w:jc w:val="center"/>
              <w:rPr>
                <w:sz w:val="28"/>
                <w:szCs w:val="28"/>
                <w:lang w:val="en-US"/>
              </w:rPr>
            </w:pPr>
          </w:p>
        </w:tc>
        <w:tc>
          <w:tcPr>
            <w:tcW w:w="1559" w:type="dxa"/>
            <w:vAlign w:val="center"/>
          </w:tcPr>
          <w:p w:rsidR="00906F44" w:rsidRPr="0036017E" w:rsidRDefault="00906F44" w:rsidP="00EF1CA4">
            <w:pPr>
              <w:spacing w:before="120" w:after="280" w:afterAutospacing="1"/>
              <w:jc w:val="center"/>
              <w:rPr>
                <w:sz w:val="28"/>
                <w:szCs w:val="28"/>
                <w:lang w:val="en-US"/>
              </w:rPr>
            </w:pPr>
          </w:p>
        </w:tc>
        <w:tc>
          <w:tcPr>
            <w:tcW w:w="1291" w:type="dxa"/>
            <w:vAlign w:val="center"/>
          </w:tcPr>
          <w:p w:rsidR="00906F44" w:rsidRPr="0036017E" w:rsidRDefault="00906F44" w:rsidP="00EF1CA4">
            <w:pPr>
              <w:spacing w:before="120" w:after="280" w:afterAutospacing="1"/>
              <w:jc w:val="center"/>
              <w:rPr>
                <w:sz w:val="28"/>
                <w:szCs w:val="28"/>
                <w:lang w:val="en-US"/>
              </w:rPr>
            </w:pPr>
          </w:p>
        </w:tc>
      </w:tr>
      <w:tr w:rsidR="005C03F8" w:rsidRPr="0036017E" w:rsidTr="00EF1CA4">
        <w:tc>
          <w:tcPr>
            <w:tcW w:w="675" w:type="dxa"/>
            <w:vAlign w:val="center"/>
          </w:tcPr>
          <w:p w:rsidR="005C03F8" w:rsidRPr="0036017E" w:rsidRDefault="005C03F8" w:rsidP="00EF1CA4">
            <w:pPr>
              <w:spacing w:before="120" w:after="280" w:afterAutospacing="1"/>
              <w:rPr>
                <w:sz w:val="28"/>
                <w:szCs w:val="28"/>
                <w:lang w:val="en-US"/>
              </w:rPr>
            </w:pPr>
            <w:r w:rsidRPr="0036017E">
              <w:rPr>
                <w:sz w:val="28"/>
                <w:szCs w:val="28"/>
                <w:lang w:val="en-US"/>
              </w:rPr>
              <w:t>2.1</w:t>
            </w:r>
          </w:p>
        </w:tc>
        <w:tc>
          <w:tcPr>
            <w:tcW w:w="4536" w:type="dxa"/>
            <w:vAlign w:val="center"/>
          </w:tcPr>
          <w:p w:rsidR="005C03F8" w:rsidRPr="0036017E" w:rsidRDefault="005C03F8" w:rsidP="00EF1CA4">
            <w:pPr>
              <w:spacing w:before="120" w:after="280" w:afterAutospacing="1"/>
              <w:rPr>
                <w:sz w:val="28"/>
                <w:szCs w:val="28"/>
                <w:lang w:val="en-US"/>
              </w:rPr>
            </w:pPr>
            <w:r w:rsidRPr="0036017E">
              <w:rPr>
                <w:sz w:val="28"/>
                <w:szCs w:val="28"/>
                <w:lang w:val="en-US"/>
              </w:rPr>
              <w:t>Ban tiếp công dân của tỉnh</w:t>
            </w:r>
          </w:p>
        </w:tc>
        <w:tc>
          <w:tcPr>
            <w:tcW w:w="1560" w:type="dxa"/>
            <w:vAlign w:val="center"/>
          </w:tcPr>
          <w:p w:rsidR="005C03F8" w:rsidRPr="0036017E" w:rsidRDefault="00CA14F8" w:rsidP="00EF1CA4">
            <w:pPr>
              <w:spacing w:before="120" w:after="280" w:afterAutospacing="1"/>
              <w:jc w:val="center"/>
              <w:rPr>
                <w:sz w:val="28"/>
                <w:szCs w:val="28"/>
                <w:lang w:val="en-US"/>
              </w:rPr>
            </w:pPr>
            <w:r w:rsidRPr="0036017E">
              <w:rPr>
                <w:sz w:val="28"/>
                <w:szCs w:val="28"/>
                <w:lang w:val="en-US"/>
              </w:rPr>
              <w:t>7</w:t>
            </w:r>
            <w:r w:rsidR="005C03F8" w:rsidRPr="0036017E">
              <w:rPr>
                <w:sz w:val="28"/>
                <w:szCs w:val="28"/>
                <w:lang w:val="en-US"/>
              </w:rPr>
              <w:t>00</w:t>
            </w:r>
          </w:p>
        </w:tc>
        <w:tc>
          <w:tcPr>
            <w:tcW w:w="1559" w:type="dxa"/>
            <w:vAlign w:val="center"/>
          </w:tcPr>
          <w:p w:rsidR="005C03F8" w:rsidRPr="0036017E" w:rsidRDefault="005C03F8" w:rsidP="00EF1CA4">
            <w:pPr>
              <w:spacing w:before="120" w:after="280" w:afterAutospacing="1"/>
              <w:jc w:val="center"/>
              <w:rPr>
                <w:sz w:val="28"/>
                <w:szCs w:val="28"/>
                <w:lang w:val="en-US"/>
              </w:rPr>
            </w:pPr>
          </w:p>
        </w:tc>
        <w:tc>
          <w:tcPr>
            <w:tcW w:w="1291" w:type="dxa"/>
            <w:vAlign w:val="center"/>
          </w:tcPr>
          <w:p w:rsidR="005C03F8" w:rsidRPr="0036017E" w:rsidRDefault="005C03F8" w:rsidP="00EF1CA4">
            <w:pPr>
              <w:spacing w:before="120" w:after="280" w:afterAutospacing="1"/>
              <w:jc w:val="center"/>
              <w:rPr>
                <w:sz w:val="28"/>
                <w:szCs w:val="28"/>
                <w:lang w:val="en-US"/>
              </w:rPr>
            </w:pPr>
          </w:p>
        </w:tc>
      </w:tr>
      <w:tr w:rsidR="005C03F8" w:rsidRPr="0036017E" w:rsidTr="00EF1CA4">
        <w:tc>
          <w:tcPr>
            <w:tcW w:w="675" w:type="dxa"/>
            <w:vAlign w:val="center"/>
          </w:tcPr>
          <w:p w:rsidR="005C03F8" w:rsidRPr="0036017E" w:rsidRDefault="005C03F8" w:rsidP="00EF1CA4">
            <w:pPr>
              <w:spacing w:before="120" w:after="280" w:afterAutospacing="1"/>
              <w:rPr>
                <w:sz w:val="28"/>
                <w:szCs w:val="28"/>
                <w:lang w:val="en-US"/>
              </w:rPr>
            </w:pPr>
            <w:r w:rsidRPr="0036017E">
              <w:rPr>
                <w:sz w:val="28"/>
                <w:szCs w:val="28"/>
                <w:lang w:val="en-US"/>
              </w:rPr>
              <w:t>2.2</w:t>
            </w:r>
          </w:p>
        </w:tc>
        <w:tc>
          <w:tcPr>
            <w:tcW w:w="4536" w:type="dxa"/>
            <w:vAlign w:val="center"/>
          </w:tcPr>
          <w:p w:rsidR="005C03F8" w:rsidRPr="0036017E" w:rsidRDefault="005C03F8" w:rsidP="00EF1CA4">
            <w:pPr>
              <w:spacing w:before="120" w:after="280" w:afterAutospacing="1"/>
              <w:rPr>
                <w:sz w:val="28"/>
                <w:szCs w:val="28"/>
                <w:lang w:val="en-US"/>
              </w:rPr>
            </w:pPr>
            <w:r w:rsidRPr="0036017E">
              <w:rPr>
                <w:sz w:val="28"/>
                <w:szCs w:val="28"/>
                <w:lang w:val="en-US"/>
              </w:rPr>
              <w:t>Cơ quan, tổ chức, đơn vị khác</w:t>
            </w:r>
          </w:p>
        </w:tc>
        <w:tc>
          <w:tcPr>
            <w:tcW w:w="1560" w:type="dxa"/>
            <w:vAlign w:val="center"/>
          </w:tcPr>
          <w:p w:rsidR="005C03F8" w:rsidRPr="0036017E" w:rsidRDefault="00CA14F8" w:rsidP="00EF1CA4">
            <w:pPr>
              <w:spacing w:before="120" w:after="280" w:afterAutospacing="1"/>
              <w:jc w:val="center"/>
              <w:rPr>
                <w:sz w:val="28"/>
                <w:szCs w:val="28"/>
                <w:lang w:val="en-US"/>
              </w:rPr>
            </w:pPr>
            <w:r w:rsidRPr="0036017E">
              <w:rPr>
                <w:sz w:val="28"/>
                <w:szCs w:val="28"/>
                <w:lang w:val="en-US"/>
              </w:rPr>
              <w:t>2</w:t>
            </w:r>
            <w:r w:rsidR="005C03F8" w:rsidRPr="0036017E">
              <w:rPr>
                <w:sz w:val="28"/>
                <w:szCs w:val="28"/>
                <w:lang w:val="en-US"/>
              </w:rPr>
              <w:t>00</w:t>
            </w:r>
          </w:p>
        </w:tc>
        <w:tc>
          <w:tcPr>
            <w:tcW w:w="1559" w:type="dxa"/>
            <w:vAlign w:val="center"/>
          </w:tcPr>
          <w:p w:rsidR="005C03F8" w:rsidRPr="0036017E" w:rsidRDefault="005C03F8" w:rsidP="00EF1CA4">
            <w:pPr>
              <w:spacing w:before="120" w:after="280" w:afterAutospacing="1"/>
              <w:jc w:val="center"/>
              <w:rPr>
                <w:sz w:val="28"/>
                <w:szCs w:val="28"/>
                <w:lang w:val="en-US"/>
              </w:rPr>
            </w:pPr>
            <w:r w:rsidRPr="0036017E">
              <w:rPr>
                <w:sz w:val="28"/>
                <w:szCs w:val="28"/>
                <w:lang w:val="en-US"/>
              </w:rPr>
              <w:t>200</w:t>
            </w:r>
          </w:p>
        </w:tc>
        <w:tc>
          <w:tcPr>
            <w:tcW w:w="1291" w:type="dxa"/>
            <w:vAlign w:val="center"/>
          </w:tcPr>
          <w:p w:rsidR="005C03F8" w:rsidRPr="0036017E" w:rsidRDefault="005C03F8" w:rsidP="00EF1CA4">
            <w:pPr>
              <w:spacing w:before="120" w:after="280" w:afterAutospacing="1"/>
              <w:jc w:val="center"/>
              <w:rPr>
                <w:sz w:val="28"/>
                <w:szCs w:val="28"/>
                <w:lang w:val="en-US"/>
              </w:rPr>
            </w:pPr>
            <w:r w:rsidRPr="0036017E">
              <w:rPr>
                <w:sz w:val="28"/>
                <w:szCs w:val="28"/>
                <w:lang w:val="en-US"/>
              </w:rPr>
              <w:t>100</w:t>
            </w:r>
          </w:p>
        </w:tc>
      </w:tr>
      <w:tr w:rsidR="005C03F8" w:rsidRPr="0036017E" w:rsidTr="00EF1CA4">
        <w:tc>
          <w:tcPr>
            <w:tcW w:w="675" w:type="dxa"/>
            <w:vAlign w:val="center"/>
          </w:tcPr>
          <w:p w:rsidR="005C03F8" w:rsidRPr="0036017E" w:rsidRDefault="005C03F8" w:rsidP="00EF1CA4">
            <w:pPr>
              <w:spacing w:before="120" w:after="280" w:afterAutospacing="1"/>
              <w:rPr>
                <w:sz w:val="28"/>
                <w:szCs w:val="28"/>
                <w:lang w:val="en-US"/>
              </w:rPr>
            </w:pPr>
            <w:r w:rsidRPr="0036017E">
              <w:rPr>
                <w:sz w:val="28"/>
                <w:szCs w:val="28"/>
                <w:lang w:val="en-US"/>
              </w:rPr>
              <w:t>3</w:t>
            </w:r>
          </w:p>
        </w:tc>
        <w:tc>
          <w:tcPr>
            <w:tcW w:w="4536" w:type="dxa"/>
            <w:vAlign w:val="center"/>
          </w:tcPr>
          <w:p w:rsidR="005C03F8" w:rsidRPr="0036017E" w:rsidRDefault="005C03F8" w:rsidP="00EF1CA4">
            <w:pPr>
              <w:spacing w:before="120" w:after="280" w:afterAutospacing="1"/>
              <w:rPr>
                <w:sz w:val="28"/>
                <w:szCs w:val="28"/>
                <w:lang w:val="en-US"/>
              </w:rPr>
            </w:pPr>
            <w:r w:rsidRPr="0036017E">
              <w:rPr>
                <w:sz w:val="28"/>
                <w:szCs w:val="28"/>
                <w:lang w:val="en-US"/>
              </w:rPr>
              <w:t>Diện tích sử dụng để quản trị hệ thống công nghệ thông tin</w:t>
            </w:r>
          </w:p>
        </w:tc>
        <w:tc>
          <w:tcPr>
            <w:tcW w:w="1560" w:type="dxa"/>
            <w:vAlign w:val="center"/>
          </w:tcPr>
          <w:p w:rsidR="005C03F8" w:rsidRPr="0036017E" w:rsidRDefault="005C03F8" w:rsidP="00EF1CA4">
            <w:pPr>
              <w:spacing w:before="120" w:after="280" w:afterAutospacing="1"/>
              <w:jc w:val="center"/>
              <w:rPr>
                <w:sz w:val="28"/>
                <w:szCs w:val="28"/>
                <w:lang w:val="en-US"/>
              </w:rPr>
            </w:pPr>
            <w:r w:rsidRPr="0036017E">
              <w:rPr>
                <w:sz w:val="28"/>
                <w:szCs w:val="28"/>
                <w:lang w:val="en-US"/>
              </w:rPr>
              <w:t>150</w:t>
            </w:r>
          </w:p>
        </w:tc>
        <w:tc>
          <w:tcPr>
            <w:tcW w:w="1559" w:type="dxa"/>
            <w:vAlign w:val="center"/>
          </w:tcPr>
          <w:p w:rsidR="005C03F8" w:rsidRPr="0036017E" w:rsidRDefault="005C03F8" w:rsidP="00EF1CA4">
            <w:pPr>
              <w:spacing w:before="120" w:after="280" w:afterAutospacing="1"/>
              <w:jc w:val="center"/>
              <w:rPr>
                <w:sz w:val="28"/>
                <w:szCs w:val="28"/>
                <w:lang w:val="en-US"/>
              </w:rPr>
            </w:pPr>
            <w:r w:rsidRPr="0036017E">
              <w:rPr>
                <w:sz w:val="28"/>
                <w:szCs w:val="28"/>
                <w:lang w:val="en-US"/>
              </w:rPr>
              <w:t>100</w:t>
            </w:r>
          </w:p>
        </w:tc>
        <w:tc>
          <w:tcPr>
            <w:tcW w:w="1291" w:type="dxa"/>
            <w:vAlign w:val="center"/>
          </w:tcPr>
          <w:p w:rsidR="005C03F8" w:rsidRPr="0036017E" w:rsidRDefault="005A1D6F" w:rsidP="00EF1CA4">
            <w:pPr>
              <w:spacing w:before="120" w:after="280" w:afterAutospacing="1"/>
              <w:jc w:val="center"/>
              <w:rPr>
                <w:sz w:val="28"/>
                <w:szCs w:val="28"/>
                <w:lang w:val="en-US"/>
              </w:rPr>
            </w:pPr>
            <w:r w:rsidRPr="0036017E">
              <w:rPr>
                <w:sz w:val="28"/>
                <w:szCs w:val="28"/>
                <w:lang w:val="en-US"/>
              </w:rPr>
              <w:t>10</w:t>
            </w:r>
            <w:r w:rsidR="005C03F8" w:rsidRPr="0036017E">
              <w:rPr>
                <w:sz w:val="28"/>
                <w:szCs w:val="28"/>
                <w:lang w:val="en-US"/>
              </w:rPr>
              <w:t>0</w:t>
            </w:r>
          </w:p>
        </w:tc>
      </w:tr>
      <w:tr w:rsidR="005C03F8" w:rsidRPr="0036017E" w:rsidTr="00EF1CA4">
        <w:tc>
          <w:tcPr>
            <w:tcW w:w="675" w:type="dxa"/>
            <w:vAlign w:val="center"/>
          </w:tcPr>
          <w:p w:rsidR="005C03F8" w:rsidRPr="0036017E" w:rsidRDefault="005C03F8" w:rsidP="00EF1CA4">
            <w:pPr>
              <w:spacing w:before="120" w:after="280" w:afterAutospacing="1"/>
              <w:rPr>
                <w:sz w:val="28"/>
                <w:szCs w:val="28"/>
                <w:lang w:val="en-US"/>
              </w:rPr>
            </w:pPr>
            <w:r w:rsidRPr="0036017E">
              <w:rPr>
                <w:sz w:val="28"/>
                <w:szCs w:val="28"/>
                <w:lang w:val="en-US"/>
              </w:rPr>
              <w:t>4</w:t>
            </w:r>
          </w:p>
        </w:tc>
        <w:tc>
          <w:tcPr>
            <w:tcW w:w="4536" w:type="dxa"/>
            <w:vAlign w:val="center"/>
          </w:tcPr>
          <w:p w:rsidR="005C03F8" w:rsidRPr="0036017E" w:rsidRDefault="005C03F8" w:rsidP="00EF1CA4">
            <w:pPr>
              <w:spacing w:before="120" w:after="280" w:afterAutospacing="1"/>
              <w:rPr>
                <w:sz w:val="28"/>
                <w:szCs w:val="28"/>
                <w:lang w:val="en-US"/>
              </w:rPr>
            </w:pPr>
            <w:r w:rsidRPr="0036017E">
              <w:rPr>
                <w:sz w:val="28"/>
                <w:szCs w:val="28"/>
                <w:lang w:val="en-US"/>
              </w:rPr>
              <w:t>Diện tích Hội trường lớn (từ 100 chổ ngồi trở lên)</w:t>
            </w:r>
          </w:p>
        </w:tc>
        <w:tc>
          <w:tcPr>
            <w:tcW w:w="1560" w:type="dxa"/>
            <w:vAlign w:val="center"/>
          </w:tcPr>
          <w:p w:rsidR="005C03F8" w:rsidRPr="0036017E" w:rsidRDefault="005C03F8" w:rsidP="00EF1CA4">
            <w:pPr>
              <w:spacing w:before="120" w:after="280" w:afterAutospacing="1"/>
              <w:jc w:val="center"/>
              <w:rPr>
                <w:sz w:val="28"/>
                <w:szCs w:val="28"/>
                <w:lang w:val="en-US"/>
              </w:rPr>
            </w:pPr>
            <w:r w:rsidRPr="0036017E">
              <w:rPr>
                <w:sz w:val="28"/>
                <w:szCs w:val="28"/>
                <w:lang w:val="en-US"/>
              </w:rPr>
              <w:t>1.000</w:t>
            </w:r>
          </w:p>
        </w:tc>
        <w:tc>
          <w:tcPr>
            <w:tcW w:w="1559" w:type="dxa"/>
            <w:vAlign w:val="center"/>
          </w:tcPr>
          <w:p w:rsidR="005C03F8" w:rsidRPr="0036017E" w:rsidRDefault="005C03F8" w:rsidP="00EF1CA4">
            <w:pPr>
              <w:spacing w:before="120" w:after="280" w:afterAutospacing="1"/>
              <w:jc w:val="center"/>
              <w:rPr>
                <w:sz w:val="28"/>
                <w:szCs w:val="28"/>
                <w:lang w:val="en-US"/>
              </w:rPr>
            </w:pPr>
            <w:r w:rsidRPr="0036017E">
              <w:rPr>
                <w:sz w:val="28"/>
                <w:szCs w:val="28"/>
                <w:lang w:val="en-US"/>
              </w:rPr>
              <w:t>1.000</w:t>
            </w:r>
          </w:p>
        </w:tc>
        <w:tc>
          <w:tcPr>
            <w:tcW w:w="1291" w:type="dxa"/>
            <w:vAlign w:val="center"/>
          </w:tcPr>
          <w:p w:rsidR="005C03F8" w:rsidRPr="0036017E" w:rsidRDefault="005C03F8" w:rsidP="00EF1CA4">
            <w:pPr>
              <w:spacing w:before="120" w:after="280" w:afterAutospacing="1"/>
              <w:jc w:val="center"/>
              <w:rPr>
                <w:sz w:val="28"/>
                <w:szCs w:val="28"/>
                <w:lang w:val="en-US"/>
              </w:rPr>
            </w:pPr>
            <w:r w:rsidRPr="0036017E">
              <w:rPr>
                <w:sz w:val="28"/>
                <w:szCs w:val="28"/>
                <w:lang w:val="en-US"/>
              </w:rPr>
              <w:t>700</w:t>
            </w:r>
          </w:p>
        </w:tc>
      </w:tr>
      <w:tr w:rsidR="005C03F8" w:rsidRPr="0036017E" w:rsidTr="00EF1CA4">
        <w:tc>
          <w:tcPr>
            <w:tcW w:w="675" w:type="dxa"/>
            <w:vAlign w:val="center"/>
          </w:tcPr>
          <w:p w:rsidR="005C03F8" w:rsidRPr="0036017E" w:rsidRDefault="005C03F8" w:rsidP="00EF1CA4">
            <w:pPr>
              <w:spacing w:before="120" w:after="280" w:afterAutospacing="1"/>
              <w:rPr>
                <w:sz w:val="28"/>
                <w:szCs w:val="28"/>
                <w:lang w:val="en-US"/>
              </w:rPr>
            </w:pPr>
            <w:r w:rsidRPr="0036017E">
              <w:rPr>
                <w:sz w:val="28"/>
                <w:szCs w:val="28"/>
                <w:lang w:val="en-US"/>
              </w:rPr>
              <w:t>5</w:t>
            </w:r>
          </w:p>
        </w:tc>
        <w:tc>
          <w:tcPr>
            <w:tcW w:w="4536" w:type="dxa"/>
            <w:vAlign w:val="center"/>
          </w:tcPr>
          <w:p w:rsidR="005C03F8" w:rsidRPr="0036017E" w:rsidRDefault="005C03F8" w:rsidP="00EF1CA4">
            <w:pPr>
              <w:spacing w:before="120" w:after="280" w:afterAutospacing="1"/>
              <w:rPr>
                <w:sz w:val="28"/>
                <w:szCs w:val="28"/>
                <w:lang w:val="en-US"/>
              </w:rPr>
            </w:pPr>
            <w:r w:rsidRPr="0036017E">
              <w:rPr>
                <w:sz w:val="28"/>
                <w:szCs w:val="28"/>
                <w:lang w:val="en-US"/>
              </w:rPr>
              <w:t>Kho chuyên ngành</w:t>
            </w:r>
          </w:p>
        </w:tc>
        <w:tc>
          <w:tcPr>
            <w:tcW w:w="1560" w:type="dxa"/>
            <w:vAlign w:val="center"/>
          </w:tcPr>
          <w:p w:rsidR="005C03F8" w:rsidRPr="0036017E" w:rsidRDefault="005C03F8" w:rsidP="00EF1CA4">
            <w:pPr>
              <w:spacing w:before="120" w:after="100" w:afterAutospacing="1"/>
              <w:jc w:val="center"/>
              <w:rPr>
                <w:sz w:val="28"/>
                <w:szCs w:val="28"/>
                <w:lang w:val="en-US"/>
              </w:rPr>
            </w:pPr>
            <w:r w:rsidRPr="0036017E">
              <w:rPr>
                <w:sz w:val="28"/>
                <w:szCs w:val="28"/>
                <w:lang w:val="en-US"/>
              </w:rPr>
              <w:t>1.000</w:t>
            </w:r>
          </w:p>
        </w:tc>
        <w:tc>
          <w:tcPr>
            <w:tcW w:w="1559" w:type="dxa"/>
            <w:vAlign w:val="center"/>
          </w:tcPr>
          <w:p w:rsidR="005C03F8" w:rsidRPr="0036017E" w:rsidRDefault="005C03F8" w:rsidP="00EF1CA4">
            <w:pPr>
              <w:spacing w:before="120" w:after="280" w:afterAutospacing="1"/>
              <w:jc w:val="center"/>
              <w:rPr>
                <w:sz w:val="28"/>
                <w:szCs w:val="28"/>
                <w:lang w:val="en-US"/>
              </w:rPr>
            </w:pPr>
            <w:r w:rsidRPr="0036017E">
              <w:rPr>
                <w:sz w:val="28"/>
                <w:szCs w:val="28"/>
                <w:lang w:val="en-US"/>
              </w:rPr>
              <w:t>1.000</w:t>
            </w:r>
          </w:p>
        </w:tc>
        <w:tc>
          <w:tcPr>
            <w:tcW w:w="1291" w:type="dxa"/>
            <w:vAlign w:val="center"/>
          </w:tcPr>
          <w:p w:rsidR="005C03F8" w:rsidRPr="0036017E" w:rsidRDefault="005C03F8" w:rsidP="00EF1CA4">
            <w:pPr>
              <w:spacing w:before="120" w:after="280" w:afterAutospacing="1"/>
              <w:jc w:val="center"/>
              <w:rPr>
                <w:sz w:val="28"/>
                <w:szCs w:val="28"/>
                <w:lang w:val="en-US"/>
              </w:rPr>
            </w:pPr>
            <w:r w:rsidRPr="0036017E">
              <w:rPr>
                <w:sz w:val="28"/>
                <w:szCs w:val="28"/>
                <w:lang w:val="en-US"/>
              </w:rPr>
              <w:t>700</w:t>
            </w:r>
          </w:p>
        </w:tc>
      </w:tr>
      <w:tr w:rsidR="009661D2" w:rsidRPr="0036017E" w:rsidTr="00EF1CA4">
        <w:tc>
          <w:tcPr>
            <w:tcW w:w="675" w:type="dxa"/>
            <w:vAlign w:val="center"/>
          </w:tcPr>
          <w:p w:rsidR="009661D2" w:rsidRPr="0036017E" w:rsidRDefault="009661D2" w:rsidP="00EF1CA4">
            <w:pPr>
              <w:spacing w:before="120" w:after="280" w:afterAutospacing="1"/>
              <w:rPr>
                <w:sz w:val="28"/>
                <w:szCs w:val="28"/>
                <w:lang w:val="en-US"/>
              </w:rPr>
            </w:pPr>
            <w:r w:rsidRPr="0036017E">
              <w:rPr>
                <w:sz w:val="28"/>
                <w:szCs w:val="28"/>
                <w:lang w:val="en-US"/>
              </w:rPr>
              <w:t>6</w:t>
            </w:r>
          </w:p>
        </w:tc>
        <w:tc>
          <w:tcPr>
            <w:tcW w:w="4536" w:type="dxa"/>
            <w:vAlign w:val="center"/>
          </w:tcPr>
          <w:p w:rsidR="009661D2" w:rsidRPr="0036017E" w:rsidRDefault="009661D2" w:rsidP="00EF1CA4">
            <w:pPr>
              <w:spacing w:before="120" w:after="280" w:afterAutospacing="1"/>
              <w:rPr>
                <w:sz w:val="28"/>
                <w:szCs w:val="28"/>
                <w:lang w:val="en-US"/>
              </w:rPr>
            </w:pPr>
            <w:r w:rsidRPr="0036017E">
              <w:rPr>
                <w:sz w:val="28"/>
                <w:szCs w:val="28"/>
                <w:lang w:val="en-US"/>
              </w:rPr>
              <w:t>Diện tích khác phục vụ nhiệm vụ đặc thù của cơ quan, tổ chức (nếu có)</w:t>
            </w:r>
          </w:p>
        </w:tc>
        <w:tc>
          <w:tcPr>
            <w:tcW w:w="4410" w:type="dxa"/>
            <w:gridSpan w:val="3"/>
            <w:vAlign w:val="center"/>
          </w:tcPr>
          <w:p w:rsidR="009661D2" w:rsidRPr="0036017E" w:rsidRDefault="009661D2" w:rsidP="00EF1CA4">
            <w:pPr>
              <w:spacing w:before="120" w:after="280" w:afterAutospacing="1"/>
              <w:rPr>
                <w:sz w:val="28"/>
                <w:szCs w:val="28"/>
                <w:lang w:val="en-US"/>
              </w:rPr>
            </w:pPr>
            <w:r w:rsidRPr="0036017E">
              <w:rPr>
                <w:sz w:val="28"/>
                <w:szCs w:val="28"/>
                <w:lang w:val="en-US"/>
              </w:rPr>
              <w:t>Theo chức năng nhiệm vụ đặc thù, quy mô, biên chế và tiêu chuẩn xây dựng Việt Nam.</w:t>
            </w:r>
          </w:p>
        </w:tc>
      </w:tr>
    </w:tbl>
    <w:p w:rsidR="00DF4E14" w:rsidRDefault="00DF4E14" w:rsidP="00CA14F8">
      <w:pPr>
        <w:spacing w:before="120"/>
        <w:ind w:firstLine="720"/>
        <w:jc w:val="both"/>
        <w:rPr>
          <w:b/>
          <w:bCs/>
          <w:sz w:val="28"/>
          <w:szCs w:val="28"/>
          <w:lang w:val="en-US"/>
        </w:rPr>
      </w:pPr>
    </w:p>
    <w:p w:rsidR="00491EE4" w:rsidRDefault="009661D2" w:rsidP="00CA14F8">
      <w:pPr>
        <w:spacing w:before="120"/>
        <w:ind w:firstLine="720"/>
        <w:jc w:val="both"/>
        <w:rPr>
          <w:b/>
          <w:sz w:val="28"/>
          <w:szCs w:val="28"/>
          <w:lang w:val="en-US"/>
        </w:rPr>
      </w:pPr>
      <w:r w:rsidRPr="006F6180">
        <w:rPr>
          <w:b/>
          <w:bCs/>
          <w:sz w:val="28"/>
          <w:szCs w:val="28"/>
        </w:rPr>
        <w:t xml:space="preserve">Điều </w:t>
      </w:r>
      <w:r>
        <w:rPr>
          <w:b/>
          <w:bCs/>
          <w:sz w:val="28"/>
          <w:szCs w:val="28"/>
          <w:lang w:val="en-US"/>
        </w:rPr>
        <w:t xml:space="preserve">4. </w:t>
      </w:r>
      <w:r w:rsidRPr="009661D2">
        <w:rPr>
          <w:b/>
          <w:bCs/>
          <w:sz w:val="28"/>
          <w:szCs w:val="28"/>
          <w:lang w:val="en-US"/>
        </w:rPr>
        <w:t>P</w:t>
      </w:r>
      <w:r w:rsidRPr="009661D2">
        <w:rPr>
          <w:b/>
          <w:sz w:val="28"/>
          <w:szCs w:val="28"/>
        </w:rPr>
        <w:t>hân cấp thẩm quyền quy định tiêu chuẩn, định mức sử dụng công trình sự nghiệp</w:t>
      </w:r>
    </w:p>
    <w:p w:rsidR="00906F44" w:rsidRDefault="00491EE4" w:rsidP="00CA14F8">
      <w:pPr>
        <w:spacing w:before="120"/>
        <w:ind w:firstLine="720"/>
        <w:jc w:val="both"/>
        <w:rPr>
          <w:sz w:val="28"/>
          <w:szCs w:val="28"/>
          <w:lang w:val="en-US"/>
        </w:rPr>
      </w:pPr>
      <w:r w:rsidRPr="00491EE4">
        <w:rPr>
          <w:sz w:val="28"/>
          <w:szCs w:val="28"/>
          <w:lang w:val="en-US"/>
        </w:rPr>
        <w:t xml:space="preserve">1. </w:t>
      </w:r>
      <w:r>
        <w:rPr>
          <w:sz w:val="28"/>
          <w:szCs w:val="28"/>
          <w:lang w:val="en-US"/>
        </w:rPr>
        <w:t>T</w:t>
      </w:r>
      <w:r w:rsidRPr="00491EE4">
        <w:rPr>
          <w:sz w:val="28"/>
          <w:szCs w:val="28"/>
        </w:rPr>
        <w:t>iêu chuẩn, định mức sử dụng công trình sự nghiệp</w:t>
      </w:r>
      <w:r>
        <w:rPr>
          <w:sz w:val="28"/>
          <w:szCs w:val="28"/>
          <w:lang w:val="en-US"/>
        </w:rPr>
        <w:t xml:space="preserve"> lĩnh vực y tế, giáo dục và đào tạo: </w:t>
      </w:r>
      <w:r w:rsidR="009B4246">
        <w:rPr>
          <w:sz w:val="28"/>
          <w:szCs w:val="28"/>
          <w:lang w:val="en-US"/>
        </w:rPr>
        <w:t>T</w:t>
      </w:r>
      <w:r>
        <w:rPr>
          <w:sz w:val="28"/>
          <w:szCs w:val="28"/>
          <w:lang w:val="en-US"/>
        </w:rPr>
        <w:t xml:space="preserve">rên cơ sở hướng dẫn của Bộ Y tế, Bộ Giáo dục và Đào tạo và Bộ Lao động – Thương binh và Xã hội, giao Giám đốc Sở Y tế, Sở Giáo dục và Đào tạo </w:t>
      </w:r>
      <w:r w:rsidR="00C357D9">
        <w:rPr>
          <w:sz w:val="28"/>
          <w:szCs w:val="28"/>
          <w:lang w:val="en-US"/>
        </w:rPr>
        <w:t xml:space="preserve">và </w:t>
      </w:r>
      <w:r w:rsidR="00123E4E">
        <w:rPr>
          <w:sz w:val="28"/>
          <w:szCs w:val="28"/>
          <w:lang w:val="en-US"/>
        </w:rPr>
        <w:t xml:space="preserve">Sở Lao động – Thương binh và Xã hội </w:t>
      </w:r>
      <w:r>
        <w:rPr>
          <w:sz w:val="28"/>
          <w:szCs w:val="28"/>
          <w:lang w:val="en-US"/>
        </w:rPr>
        <w:t>ban hành tiêu chuẩn</w:t>
      </w:r>
      <w:r w:rsidR="00DF4E14">
        <w:rPr>
          <w:sz w:val="28"/>
          <w:szCs w:val="28"/>
          <w:lang w:val="en-US"/>
        </w:rPr>
        <w:t xml:space="preserve">, </w:t>
      </w:r>
      <w:r w:rsidR="00DF4E14" w:rsidRPr="00491EE4">
        <w:rPr>
          <w:sz w:val="28"/>
          <w:szCs w:val="28"/>
        </w:rPr>
        <w:t>định mức sử dụng công trình sự nghiệp</w:t>
      </w:r>
      <w:r w:rsidR="00DF4E14">
        <w:rPr>
          <w:sz w:val="28"/>
          <w:szCs w:val="28"/>
          <w:lang w:val="en-US"/>
        </w:rPr>
        <w:t xml:space="preserve"> thuộc phạm vi quản lý.</w:t>
      </w:r>
    </w:p>
    <w:p w:rsidR="00DF4E14" w:rsidRDefault="00DF4E14" w:rsidP="00DF4E14">
      <w:pPr>
        <w:spacing w:before="120"/>
        <w:ind w:firstLine="720"/>
        <w:jc w:val="both"/>
        <w:rPr>
          <w:sz w:val="28"/>
          <w:szCs w:val="28"/>
          <w:lang w:val="en-US"/>
        </w:rPr>
      </w:pPr>
      <w:r>
        <w:rPr>
          <w:sz w:val="28"/>
          <w:szCs w:val="28"/>
          <w:lang w:val="en-US"/>
        </w:rPr>
        <w:t xml:space="preserve">2. Đối với diện tích </w:t>
      </w:r>
      <w:r w:rsidRPr="00491EE4">
        <w:rPr>
          <w:sz w:val="28"/>
          <w:szCs w:val="28"/>
        </w:rPr>
        <w:t>sử dụng công trình sự nghiệp</w:t>
      </w:r>
      <w:r>
        <w:rPr>
          <w:sz w:val="28"/>
          <w:szCs w:val="28"/>
          <w:lang w:val="en-US"/>
        </w:rPr>
        <w:t xml:space="preserve"> khác, giao Thủ trưởng các Sở ban ngành, Chủ tịch UBND cấp huyện ban hành tiêu chuẩn, </w:t>
      </w:r>
      <w:r w:rsidRPr="00491EE4">
        <w:rPr>
          <w:sz w:val="28"/>
          <w:szCs w:val="28"/>
        </w:rPr>
        <w:t>định mức sử dụng công trình sự nghiệp</w:t>
      </w:r>
      <w:r>
        <w:rPr>
          <w:sz w:val="28"/>
          <w:szCs w:val="28"/>
          <w:lang w:val="en-US"/>
        </w:rPr>
        <w:t xml:space="preserve"> thuộc phạm vi quản lý.</w:t>
      </w:r>
    </w:p>
    <w:p w:rsidR="001E7151" w:rsidRPr="0036017E" w:rsidRDefault="004C7AE6" w:rsidP="001E7151">
      <w:pPr>
        <w:spacing w:before="120"/>
        <w:ind w:firstLine="720"/>
        <w:jc w:val="both"/>
        <w:rPr>
          <w:b/>
          <w:sz w:val="28"/>
          <w:szCs w:val="28"/>
          <w:lang w:val="en-US"/>
        </w:rPr>
      </w:pPr>
      <w:r w:rsidRPr="0036017E">
        <w:rPr>
          <w:b/>
          <w:sz w:val="28"/>
          <w:szCs w:val="28"/>
        </w:rPr>
        <w:t xml:space="preserve">Điều 5. </w:t>
      </w:r>
      <w:r w:rsidR="0036017E" w:rsidRPr="0036017E">
        <w:rPr>
          <w:b/>
          <w:sz w:val="28"/>
          <w:szCs w:val="28"/>
          <w:lang w:val="en-US"/>
        </w:rPr>
        <w:t>Tổ chức thực hiện</w:t>
      </w:r>
    </w:p>
    <w:p w:rsidR="004C7AE6" w:rsidRPr="001E7151" w:rsidRDefault="001E7151" w:rsidP="001E7151">
      <w:pPr>
        <w:spacing w:before="120"/>
        <w:ind w:firstLine="720"/>
        <w:jc w:val="both"/>
        <w:rPr>
          <w:sz w:val="28"/>
          <w:szCs w:val="28"/>
        </w:rPr>
      </w:pPr>
      <w:r>
        <w:rPr>
          <w:sz w:val="28"/>
          <w:szCs w:val="28"/>
          <w:lang w:val="en-US"/>
        </w:rPr>
        <w:t xml:space="preserve">1. </w:t>
      </w:r>
      <w:r w:rsidR="004C7AE6" w:rsidRPr="001E7151">
        <w:rPr>
          <w:sz w:val="28"/>
          <w:szCs w:val="28"/>
        </w:rPr>
        <w:t xml:space="preserve">Quyết định này có hiệu lực thi hành kể từ ngày </w:t>
      </w:r>
      <w:r w:rsidRPr="001E7151">
        <w:rPr>
          <w:sz w:val="28"/>
          <w:szCs w:val="28"/>
        </w:rPr>
        <w:t>01</w:t>
      </w:r>
      <w:r>
        <w:rPr>
          <w:sz w:val="28"/>
          <w:szCs w:val="28"/>
        </w:rPr>
        <w:t xml:space="preserve"> tháng </w:t>
      </w:r>
      <w:r w:rsidRPr="001E7151">
        <w:rPr>
          <w:sz w:val="28"/>
          <w:szCs w:val="28"/>
        </w:rPr>
        <w:t>01</w:t>
      </w:r>
      <w:r w:rsidR="004C7AE6" w:rsidRPr="001E7151">
        <w:rPr>
          <w:sz w:val="28"/>
          <w:szCs w:val="28"/>
        </w:rPr>
        <w:t xml:space="preserve"> năm 20</w:t>
      </w:r>
      <w:r w:rsidRPr="001E7151">
        <w:rPr>
          <w:sz w:val="28"/>
          <w:szCs w:val="28"/>
        </w:rPr>
        <w:t>20</w:t>
      </w:r>
      <w:r w:rsidR="004C7AE6" w:rsidRPr="001E7151">
        <w:rPr>
          <w:sz w:val="28"/>
          <w:szCs w:val="28"/>
        </w:rPr>
        <w:t>.</w:t>
      </w:r>
    </w:p>
    <w:p w:rsidR="004C7AE6" w:rsidRPr="001E7151" w:rsidRDefault="001E7151" w:rsidP="001E7151">
      <w:pPr>
        <w:spacing w:before="120"/>
        <w:ind w:firstLine="720"/>
        <w:jc w:val="both"/>
        <w:rPr>
          <w:sz w:val="28"/>
          <w:szCs w:val="28"/>
        </w:rPr>
      </w:pPr>
      <w:r w:rsidRPr="001E7151">
        <w:rPr>
          <w:sz w:val="28"/>
          <w:szCs w:val="28"/>
        </w:rPr>
        <w:lastRenderedPageBreak/>
        <w:t xml:space="preserve">2. </w:t>
      </w:r>
      <w:r w:rsidR="004C7AE6" w:rsidRPr="001E7151">
        <w:rPr>
          <w:sz w:val="28"/>
          <w:szCs w:val="28"/>
        </w:rPr>
        <w:t xml:space="preserve">Chánh Văn phòng Ủy ban nhân dân tỉnh, Giám đốc Sở Tài chính, Thủ trưởng các Sở, ban, ngành tỉnh, Chủ tịch Ủy ban nhân </w:t>
      </w:r>
      <w:r w:rsidRPr="001E7151">
        <w:rPr>
          <w:sz w:val="28"/>
          <w:szCs w:val="28"/>
        </w:rPr>
        <w:t>dân cấp huyện</w:t>
      </w:r>
      <w:r w:rsidR="004C7AE6" w:rsidRPr="001E7151">
        <w:rPr>
          <w:sz w:val="28"/>
          <w:szCs w:val="28"/>
        </w:rPr>
        <w:t xml:space="preserve"> và các tổ chức cá nhân có liên quan chịu trách nhiệm thi hành Quyết định này.</w:t>
      </w:r>
      <w:r w:rsidRPr="001E7151">
        <w:rPr>
          <w:sz w:val="28"/>
          <w:szCs w:val="28"/>
        </w:rPr>
        <w:t>/.</w:t>
      </w:r>
    </w:p>
    <w:p w:rsidR="004C7AE6" w:rsidRDefault="004C7AE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4C7A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C7AE6" w:rsidRDefault="004C7AE6" w:rsidP="0036017E">
            <w:pPr>
              <w:spacing w:before="120"/>
            </w:pPr>
            <w:r>
              <w:br/>
            </w:r>
            <w:r w:rsidR="001E7151">
              <w:rPr>
                <w:b/>
                <w:bCs/>
                <w:i/>
                <w:iCs/>
              </w:rPr>
              <w:t>N</w:t>
            </w:r>
            <w:r w:rsidR="001E7151" w:rsidRPr="001E7151">
              <w:rPr>
                <w:b/>
                <w:bCs/>
                <w:i/>
                <w:iCs/>
              </w:rPr>
              <w:t>ơ</w:t>
            </w:r>
            <w:r>
              <w:rPr>
                <w:b/>
                <w:bCs/>
                <w:i/>
                <w:iCs/>
              </w:rPr>
              <w:t>i nhận:</w:t>
            </w:r>
            <w:r>
              <w:br/>
            </w:r>
            <w:r w:rsidRPr="001E7151">
              <w:rPr>
                <w:sz w:val="20"/>
              </w:rPr>
              <w:t>- Văn phòng Chính phủ;</w:t>
            </w:r>
            <w:r w:rsidRPr="001E7151">
              <w:rPr>
                <w:sz w:val="20"/>
              </w:rPr>
              <w:br/>
              <w:t>- Bộ Tài chính;</w:t>
            </w:r>
            <w:r w:rsidRPr="001E7151">
              <w:rPr>
                <w:sz w:val="20"/>
              </w:rPr>
              <w:br/>
              <w:t>- Cục KTVBQPPL (Bộ Tư pháp);</w:t>
            </w:r>
            <w:r w:rsidRPr="001E7151">
              <w:rPr>
                <w:sz w:val="20"/>
              </w:rPr>
              <w:br/>
              <w:t>- Thường trực Tỉnh ủy;</w:t>
            </w:r>
            <w:r w:rsidRPr="001E7151">
              <w:rPr>
                <w:sz w:val="20"/>
              </w:rPr>
              <w:br/>
              <w:t>- Thường trực HĐND tỉnh;</w:t>
            </w:r>
            <w:r w:rsidRPr="001E7151">
              <w:rPr>
                <w:sz w:val="20"/>
              </w:rPr>
              <w:br/>
              <w:t>- CT, các PCT UBND tỉnh;</w:t>
            </w:r>
            <w:r w:rsidRPr="001E7151">
              <w:rPr>
                <w:sz w:val="20"/>
              </w:rPr>
              <w:br/>
              <w:t>- Các Sở, ban ngành tỉnh;</w:t>
            </w:r>
            <w:r w:rsidRPr="001E7151">
              <w:rPr>
                <w:sz w:val="20"/>
              </w:rPr>
              <w:br/>
              <w:t>- Sở Tư pháp;</w:t>
            </w:r>
            <w:r w:rsidRPr="001E7151">
              <w:rPr>
                <w:sz w:val="20"/>
              </w:rPr>
              <w:br/>
              <w:t>- UBND các huyệ</w:t>
            </w:r>
            <w:r w:rsidR="0036017E">
              <w:rPr>
                <w:sz w:val="20"/>
              </w:rPr>
              <w:t>n, TX, TP;</w:t>
            </w:r>
            <w:r w:rsidR="0036017E">
              <w:rPr>
                <w:sz w:val="20"/>
              </w:rPr>
              <w:br/>
              <w:t>- LĐVP UBND tỉnh;</w:t>
            </w:r>
            <w:r w:rsidR="0036017E">
              <w:rPr>
                <w:sz w:val="20"/>
              </w:rPr>
              <w:br/>
            </w:r>
            <w:r w:rsidRPr="001E7151">
              <w:rPr>
                <w:sz w:val="20"/>
              </w:rPr>
              <w:t xml:space="preserve">- Lưu: </w:t>
            </w:r>
            <w:r w:rsidR="0036017E">
              <w:rPr>
                <w:sz w:val="20"/>
              </w:rPr>
              <w:t xml:space="preserve">VT, </w:t>
            </w:r>
            <w:r w:rsidRPr="001E7151">
              <w:rPr>
                <w:sz w:val="20"/>
              </w:rPr>
              <w:t>T</w:t>
            </w:r>
            <w:r w:rsidR="0036017E" w:rsidRPr="0036017E">
              <w:rPr>
                <w:sz w:val="20"/>
              </w:rPr>
              <w:t>M</w:t>
            </w:r>
            <w:r w:rsidRPr="001E7151">
              <w:rPr>
                <w:sz w:val="20"/>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C7AE6" w:rsidRDefault="004C7AE6" w:rsidP="001E7151">
            <w:pPr>
              <w:spacing w:before="120"/>
              <w:jc w:val="center"/>
            </w:pPr>
            <w:r w:rsidRPr="001E7151">
              <w:rPr>
                <w:b/>
                <w:bCs/>
                <w:sz w:val="26"/>
              </w:rPr>
              <w:t>TM. ỦY BAN NHÂN DÂN</w:t>
            </w:r>
            <w:r w:rsidRPr="001E7151">
              <w:rPr>
                <w:b/>
                <w:bCs/>
                <w:sz w:val="26"/>
              </w:rPr>
              <w:br/>
              <w:t>CHỦ TỊCH</w:t>
            </w:r>
            <w:r>
              <w:rPr>
                <w:b/>
                <w:bCs/>
              </w:rPr>
              <w:br/>
            </w:r>
            <w:r>
              <w:rPr>
                <w:b/>
                <w:bCs/>
              </w:rPr>
              <w:br/>
            </w:r>
            <w:r>
              <w:rPr>
                <w:b/>
                <w:bCs/>
              </w:rPr>
              <w:br/>
            </w:r>
            <w:r>
              <w:rPr>
                <w:b/>
                <w:bCs/>
              </w:rPr>
              <w:br/>
            </w:r>
            <w:r>
              <w:rPr>
                <w:b/>
                <w:bCs/>
              </w:rPr>
              <w:br/>
            </w:r>
          </w:p>
        </w:tc>
      </w:tr>
    </w:tbl>
    <w:p w:rsidR="004C7AE6" w:rsidRDefault="004C7AE6">
      <w:pPr>
        <w:spacing w:before="120" w:after="280" w:afterAutospacing="1"/>
      </w:pPr>
      <w:r>
        <w:t> </w:t>
      </w:r>
    </w:p>
    <w:sectPr w:rsidR="004C7AE6" w:rsidSect="00543DF7">
      <w:footerReference w:type="default" r:id="rId7"/>
      <w:pgSz w:w="12240" w:h="15840"/>
      <w:pgMar w:top="1134" w:right="170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3DC" w:rsidRDefault="002763DC" w:rsidP="0036017E">
      <w:r>
        <w:separator/>
      </w:r>
    </w:p>
  </w:endnote>
  <w:endnote w:type="continuationSeparator" w:id="1">
    <w:p w:rsidR="002763DC" w:rsidRDefault="002763DC" w:rsidP="00360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7E" w:rsidRDefault="00B8141C">
    <w:pPr>
      <w:pStyle w:val="Footer"/>
      <w:jc w:val="right"/>
    </w:pPr>
    <w:fldSimple w:instr=" PAGE   \* MERGEFORMAT ">
      <w:r w:rsidR="00EF1CA4">
        <w:rPr>
          <w:noProof/>
        </w:rPr>
        <w:t>2</w:t>
      </w:r>
    </w:fldSimple>
  </w:p>
  <w:p w:rsidR="0036017E" w:rsidRDefault="00360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3DC" w:rsidRDefault="002763DC" w:rsidP="0036017E">
      <w:r>
        <w:separator/>
      </w:r>
    </w:p>
  </w:footnote>
  <w:footnote w:type="continuationSeparator" w:id="1">
    <w:p w:rsidR="002763DC" w:rsidRDefault="002763DC" w:rsidP="003601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footnotePr>
    <w:footnote w:id="0"/>
    <w:footnote w:id="1"/>
  </w:footnotePr>
  <w:endnotePr>
    <w:endnote w:id="0"/>
    <w:endnote w:id="1"/>
  </w:endnotePr>
  <w:compat/>
  <w:rsids>
    <w:rsidRoot w:val="00543DF7"/>
    <w:rsid w:val="000C37E7"/>
    <w:rsid w:val="001213EA"/>
    <w:rsid w:val="00123E4E"/>
    <w:rsid w:val="001E7151"/>
    <w:rsid w:val="001F061D"/>
    <w:rsid w:val="00216053"/>
    <w:rsid w:val="002763DC"/>
    <w:rsid w:val="003555C9"/>
    <w:rsid w:val="0036017E"/>
    <w:rsid w:val="003C1B82"/>
    <w:rsid w:val="00491EE4"/>
    <w:rsid w:val="004C7AE6"/>
    <w:rsid w:val="0051276F"/>
    <w:rsid w:val="00543DF7"/>
    <w:rsid w:val="005A1D6F"/>
    <w:rsid w:val="005C03F8"/>
    <w:rsid w:val="005D7312"/>
    <w:rsid w:val="006F6180"/>
    <w:rsid w:val="008632B7"/>
    <w:rsid w:val="008927BC"/>
    <w:rsid w:val="00906F44"/>
    <w:rsid w:val="009661D2"/>
    <w:rsid w:val="009B4246"/>
    <w:rsid w:val="00B8141C"/>
    <w:rsid w:val="00C357D9"/>
    <w:rsid w:val="00CA14F8"/>
    <w:rsid w:val="00CB405C"/>
    <w:rsid w:val="00CC7344"/>
    <w:rsid w:val="00D668A5"/>
    <w:rsid w:val="00D91E3D"/>
    <w:rsid w:val="00DF4E14"/>
    <w:rsid w:val="00ED4AF1"/>
    <w:rsid w:val="00EF1CA4"/>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906F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017E"/>
    <w:pPr>
      <w:tabs>
        <w:tab w:val="center" w:pos="4513"/>
        <w:tab w:val="right" w:pos="9026"/>
      </w:tabs>
    </w:pPr>
  </w:style>
  <w:style w:type="character" w:customStyle="1" w:styleId="HeaderChar">
    <w:name w:val="Header Char"/>
    <w:basedOn w:val="DefaultParagraphFont"/>
    <w:link w:val="Header"/>
    <w:uiPriority w:val="99"/>
    <w:semiHidden/>
    <w:rsid w:val="0036017E"/>
    <w:rPr>
      <w:sz w:val="24"/>
      <w:szCs w:val="24"/>
    </w:rPr>
  </w:style>
  <w:style w:type="paragraph" w:styleId="Footer">
    <w:name w:val="footer"/>
    <w:basedOn w:val="Normal"/>
    <w:link w:val="FooterChar"/>
    <w:uiPriority w:val="99"/>
    <w:unhideWhenUsed/>
    <w:rsid w:val="0036017E"/>
    <w:pPr>
      <w:tabs>
        <w:tab w:val="center" w:pos="4513"/>
        <w:tab w:val="right" w:pos="9026"/>
      </w:tabs>
    </w:pPr>
  </w:style>
  <w:style w:type="character" w:customStyle="1" w:styleId="FooterChar">
    <w:name w:val="Footer Char"/>
    <w:basedOn w:val="DefaultParagraphFont"/>
    <w:link w:val="Footer"/>
    <w:uiPriority w:val="99"/>
    <w:rsid w:val="0036017E"/>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8DF5-9DD4-4415-AEEB-EDEAA797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7</cp:revision>
  <cp:lastPrinted>1601-01-01T00:00:00Z</cp:lastPrinted>
  <dcterms:created xsi:type="dcterms:W3CDTF">2019-10-08T03:30:00Z</dcterms:created>
  <dcterms:modified xsi:type="dcterms:W3CDTF">2019-10-16T08:05:00Z</dcterms:modified>
</cp:coreProperties>
</file>