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tblCellMar>
          <w:left w:w="0" w:type="dxa"/>
          <w:right w:w="0" w:type="dxa"/>
        </w:tblCellMar>
        <w:tblLook w:val="04A0"/>
      </w:tblPr>
      <w:tblGrid>
        <w:gridCol w:w="3369"/>
        <w:gridCol w:w="5953"/>
      </w:tblGrid>
      <w:tr w:rsidR="00AA771D" w:rsidRPr="00D30EB1" w:rsidTr="003666A6">
        <w:trPr>
          <w:trHeight w:val="828"/>
          <w:tblCellSpacing w:w="0" w:type="dxa"/>
        </w:trPr>
        <w:tc>
          <w:tcPr>
            <w:tcW w:w="3369" w:type="dxa"/>
            <w:tcMar>
              <w:top w:w="0" w:type="dxa"/>
              <w:left w:w="108" w:type="dxa"/>
              <w:bottom w:w="0" w:type="dxa"/>
              <w:right w:w="108" w:type="dxa"/>
            </w:tcMar>
            <w:hideMark/>
          </w:tcPr>
          <w:p w:rsidR="00AA771D" w:rsidRPr="00D30EB1" w:rsidRDefault="00917844" w:rsidP="00EC6383">
            <w:pPr>
              <w:spacing w:before="120" w:after="120" w:line="300" w:lineRule="exact"/>
              <w:jc w:val="center"/>
              <w:rPr>
                <w:rFonts w:eastAsia="Times New Roman"/>
                <w:szCs w:val="28"/>
              </w:rPr>
            </w:pPr>
            <w:r w:rsidRPr="00917844">
              <w:rPr>
                <w:rFonts w:eastAsia="Times New Roman"/>
                <w:b/>
                <w:bCs/>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41.7pt;margin-top:42.1pt;width:67.5pt;height:0;z-index:251662336" o:connectortype="straight"/>
              </w:pict>
            </w:r>
            <w:r w:rsidR="00AA771D">
              <w:rPr>
                <w:rFonts w:eastAsia="Times New Roman"/>
                <w:b/>
                <w:bCs/>
                <w:szCs w:val="28"/>
              </w:rPr>
              <w:t>Ủ</w:t>
            </w:r>
            <w:r w:rsidR="00AA771D" w:rsidRPr="00D30EB1">
              <w:rPr>
                <w:rFonts w:eastAsia="Times New Roman"/>
                <w:b/>
                <w:bCs/>
                <w:szCs w:val="28"/>
              </w:rPr>
              <w:t>Y BAN NHÂN DÂN</w:t>
            </w:r>
            <w:r w:rsidR="00AA771D" w:rsidRPr="00D30EB1">
              <w:rPr>
                <w:rFonts w:eastAsia="Times New Roman"/>
                <w:b/>
                <w:bCs/>
                <w:szCs w:val="28"/>
              </w:rPr>
              <w:br/>
              <w:t xml:space="preserve">TỈNH </w:t>
            </w:r>
            <w:r w:rsidR="00AA771D">
              <w:rPr>
                <w:rFonts w:eastAsia="Times New Roman"/>
                <w:b/>
                <w:bCs/>
                <w:szCs w:val="28"/>
              </w:rPr>
              <w:t>QUẢNG TRỊ</w:t>
            </w:r>
            <w:r w:rsidR="00AA771D" w:rsidRPr="00D30EB1">
              <w:rPr>
                <w:rFonts w:eastAsia="Times New Roman"/>
                <w:b/>
                <w:bCs/>
                <w:szCs w:val="28"/>
              </w:rPr>
              <w:br/>
            </w:r>
          </w:p>
        </w:tc>
        <w:tc>
          <w:tcPr>
            <w:tcW w:w="5953" w:type="dxa"/>
            <w:tcMar>
              <w:top w:w="0" w:type="dxa"/>
              <w:left w:w="108" w:type="dxa"/>
              <w:bottom w:w="0" w:type="dxa"/>
              <w:right w:w="108" w:type="dxa"/>
            </w:tcMar>
            <w:hideMark/>
          </w:tcPr>
          <w:p w:rsidR="00AA771D" w:rsidRPr="00D30EB1" w:rsidRDefault="00917844" w:rsidP="00EC6383">
            <w:pPr>
              <w:spacing w:before="120" w:after="120" w:line="300" w:lineRule="exact"/>
              <w:rPr>
                <w:rFonts w:eastAsia="Times New Roman"/>
                <w:szCs w:val="28"/>
              </w:rPr>
            </w:pPr>
            <w:r w:rsidRPr="00917844">
              <w:rPr>
                <w:rFonts w:eastAsia="Times New Roman"/>
                <w:b/>
                <w:bCs/>
                <w:noProof/>
                <w:szCs w:val="28"/>
              </w:rPr>
              <w:pict>
                <v:shape id="_x0000_s1030" type="#_x0000_t32" style="position:absolute;margin-left:82.15pt;margin-top:42.85pt;width:125.25pt;height:0;z-index:251663360;mso-position-horizontal-relative:text;mso-position-vertical-relative:text" o:connectortype="straight"/>
              </w:pict>
            </w:r>
            <w:r w:rsidR="00AA771D" w:rsidRPr="00D30EB1">
              <w:rPr>
                <w:rFonts w:eastAsia="Times New Roman"/>
                <w:b/>
                <w:bCs/>
                <w:szCs w:val="28"/>
              </w:rPr>
              <w:t>CỘNG HÒA XÃ HỘI CHỦ NGHĨA VIỆT NAM</w:t>
            </w:r>
            <w:r w:rsidR="00AA771D" w:rsidRPr="00D30EB1">
              <w:rPr>
                <w:rFonts w:eastAsia="Times New Roman"/>
                <w:b/>
                <w:bCs/>
                <w:szCs w:val="28"/>
              </w:rPr>
              <w:br/>
              <w:t xml:space="preserve">                 </w:t>
            </w:r>
            <w:r w:rsidR="00AA771D" w:rsidRPr="008761BF">
              <w:rPr>
                <w:rFonts w:eastAsia="Times New Roman"/>
                <w:b/>
                <w:bCs/>
                <w:sz w:val="28"/>
                <w:szCs w:val="28"/>
              </w:rPr>
              <w:t>Độc lập - Tự do - Hạnh phúc</w:t>
            </w:r>
            <w:r w:rsidR="00AA771D" w:rsidRPr="008761BF">
              <w:rPr>
                <w:rFonts w:eastAsia="Times New Roman"/>
                <w:b/>
                <w:bCs/>
                <w:sz w:val="28"/>
                <w:szCs w:val="28"/>
              </w:rPr>
              <w:br/>
            </w:r>
          </w:p>
        </w:tc>
      </w:tr>
      <w:tr w:rsidR="00AA771D" w:rsidRPr="008761BF" w:rsidTr="003666A6">
        <w:trPr>
          <w:trHeight w:val="440"/>
          <w:tblCellSpacing w:w="0" w:type="dxa"/>
        </w:trPr>
        <w:tc>
          <w:tcPr>
            <w:tcW w:w="3369" w:type="dxa"/>
            <w:tcMar>
              <w:top w:w="0" w:type="dxa"/>
              <w:left w:w="108" w:type="dxa"/>
              <w:bottom w:w="0" w:type="dxa"/>
              <w:right w:w="108" w:type="dxa"/>
            </w:tcMar>
            <w:hideMark/>
          </w:tcPr>
          <w:p w:rsidR="00AA771D" w:rsidRPr="006D5DE5" w:rsidRDefault="00917844" w:rsidP="00EC6383">
            <w:pPr>
              <w:spacing w:before="120" w:after="120" w:line="300" w:lineRule="exact"/>
              <w:ind w:firstLine="567"/>
              <w:rPr>
                <w:rFonts w:eastAsia="Times New Roman"/>
                <w:szCs w:val="28"/>
              </w:rPr>
            </w:pPr>
            <w:r w:rsidRPr="00917844">
              <w:rPr>
                <w:b/>
                <w:bCs/>
                <w:noProof/>
                <w:sz w:val="27"/>
                <w:szCs w:val="27"/>
                <w:lang w:eastAsia="zh-TW"/>
              </w:rPr>
              <w:pict>
                <v:shapetype id="_x0000_t202" coordsize="21600,21600" o:spt="202" path="m,l,21600r21600,l21600,xe">
                  <v:stroke joinstyle="miter"/>
                  <v:path gradientshapeok="t" o:connecttype="rect"/>
                </v:shapetype>
                <v:shape id="_x0000_s1033" type="#_x0000_t202" style="position:absolute;left:0;text-align:left;margin-left:-12.35pt;margin-top:24.1pt;width:113.3pt;height:26.25pt;z-index:251665408;mso-position-horizontal-relative:text;mso-position-vertical-relative:text;mso-width-relative:margin;mso-height-relative:margin">
                  <v:textbox>
                    <w:txbxContent>
                      <w:p w:rsidR="006B4D85" w:rsidRDefault="006B4D85">
                        <w:r>
                          <w:t xml:space="preserve">DỰ THẢO LẦN </w:t>
                        </w:r>
                        <w:r w:rsidR="00FC4FD5">
                          <w:t>2</w:t>
                        </w:r>
                      </w:p>
                    </w:txbxContent>
                  </v:textbox>
                </v:shape>
              </w:pict>
            </w:r>
            <w:r w:rsidR="00AA771D" w:rsidRPr="006D5DE5">
              <w:rPr>
                <w:rFonts w:eastAsia="Times New Roman"/>
                <w:sz w:val="28"/>
                <w:szCs w:val="28"/>
              </w:rPr>
              <w:t>Số:      /</w:t>
            </w:r>
            <w:r w:rsidR="008761BF" w:rsidRPr="006D5DE5">
              <w:rPr>
                <w:rFonts w:eastAsia="Times New Roman"/>
                <w:sz w:val="28"/>
                <w:szCs w:val="28"/>
              </w:rPr>
              <w:t>TTr</w:t>
            </w:r>
            <w:r w:rsidR="00AA771D" w:rsidRPr="006D5DE5">
              <w:rPr>
                <w:rFonts w:eastAsia="Times New Roman"/>
                <w:sz w:val="28"/>
                <w:szCs w:val="28"/>
              </w:rPr>
              <w:t>-UBND</w:t>
            </w:r>
          </w:p>
        </w:tc>
        <w:tc>
          <w:tcPr>
            <w:tcW w:w="5953" w:type="dxa"/>
            <w:tcMar>
              <w:top w:w="0" w:type="dxa"/>
              <w:left w:w="108" w:type="dxa"/>
              <w:bottom w:w="0" w:type="dxa"/>
              <w:right w:w="108" w:type="dxa"/>
            </w:tcMar>
            <w:hideMark/>
          </w:tcPr>
          <w:p w:rsidR="00AA771D" w:rsidRPr="008761BF" w:rsidRDefault="00AA771D" w:rsidP="002B6ED8">
            <w:pPr>
              <w:spacing w:before="120" w:after="120" w:line="300" w:lineRule="exact"/>
              <w:ind w:firstLine="567"/>
              <w:jc w:val="center"/>
              <w:rPr>
                <w:rFonts w:eastAsia="Times New Roman"/>
                <w:szCs w:val="28"/>
              </w:rPr>
            </w:pPr>
            <w:r w:rsidRPr="008761BF">
              <w:rPr>
                <w:rFonts w:eastAsia="Times New Roman"/>
                <w:i/>
                <w:iCs/>
                <w:sz w:val="28"/>
                <w:szCs w:val="28"/>
              </w:rPr>
              <w:t>Quảng Trị, ngày       tháng       năm 20</w:t>
            </w:r>
            <w:r w:rsidR="002B6ED8">
              <w:rPr>
                <w:rFonts w:eastAsia="Times New Roman"/>
                <w:i/>
                <w:iCs/>
                <w:sz w:val="28"/>
                <w:szCs w:val="28"/>
              </w:rPr>
              <w:t>20</w:t>
            </w:r>
          </w:p>
        </w:tc>
      </w:tr>
    </w:tbl>
    <w:p w:rsidR="00D06914" w:rsidRPr="00E27FB5" w:rsidRDefault="00D06914" w:rsidP="00EC6383">
      <w:pPr>
        <w:spacing w:line="300" w:lineRule="exact"/>
        <w:rPr>
          <w:b/>
          <w:bCs/>
          <w:sz w:val="27"/>
          <w:szCs w:val="27"/>
        </w:rPr>
      </w:pPr>
      <w:r w:rsidRPr="00E27FB5">
        <w:rPr>
          <w:b/>
          <w:bCs/>
          <w:sz w:val="27"/>
          <w:szCs w:val="27"/>
        </w:rPr>
        <w:t xml:space="preserve">             </w:t>
      </w:r>
    </w:p>
    <w:p w:rsidR="00D06914" w:rsidRPr="005D6425" w:rsidRDefault="00D06914" w:rsidP="00EC6383">
      <w:pPr>
        <w:spacing w:line="300" w:lineRule="exact"/>
        <w:jc w:val="center"/>
        <w:rPr>
          <w:b/>
          <w:bCs/>
          <w:sz w:val="28"/>
          <w:szCs w:val="28"/>
        </w:rPr>
      </w:pPr>
      <w:r w:rsidRPr="005D6425">
        <w:rPr>
          <w:b/>
          <w:bCs/>
          <w:sz w:val="28"/>
          <w:szCs w:val="28"/>
        </w:rPr>
        <w:t>TỜ TRÌNH</w:t>
      </w:r>
    </w:p>
    <w:p w:rsidR="00E27E4A" w:rsidRPr="00E27E4A" w:rsidRDefault="00E27E4A" w:rsidP="00E27E4A">
      <w:pPr>
        <w:shd w:val="clear" w:color="auto" w:fill="FFFFFF"/>
        <w:spacing w:line="380" w:lineRule="exact"/>
        <w:jc w:val="center"/>
        <w:textAlignment w:val="baseline"/>
        <w:rPr>
          <w:rFonts w:eastAsia="Times New Roman"/>
          <w:b/>
          <w:color w:val="000000"/>
          <w:sz w:val="28"/>
          <w:szCs w:val="28"/>
        </w:rPr>
      </w:pPr>
      <w:r w:rsidRPr="00E27E4A">
        <w:rPr>
          <w:rFonts w:eastAsia="Times New Roman"/>
          <w:b/>
          <w:color w:val="000000"/>
          <w:sz w:val="28"/>
          <w:szCs w:val="28"/>
        </w:rPr>
        <w:t>Về chính sách hỗ trợ đối với người hoạt động không chuyên trách</w:t>
      </w:r>
    </w:p>
    <w:p w:rsidR="00625D8D" w:rsidRPr="00E27E4A" w:rsidRDefault="00E27E4A" w:rsidP="00625D8D">
      <w:pPr>
        <w:shd w:val="clear" w:color="auto" w:fill="FFFFFF"/>
        <w:spacing w:line="380" w:lineRule="exact"/>
        <w:jc w:val="center"/>
        <w:textAlignment w:val="baseline"/>
        <w:rPr>
          <w:rFonts w:eastAsia="Times New Roman"/>
          <w:b/>
          <w:color w:val="000000"/>
          <w:sz w:val="28"/>
          <w:szCs w:val="28"/>
        </w:rPr>
      </w:pPr>
      <w:r w:rsidRPr="00E27E4A">
        <w:rPr>
          <w:rFonts w:eastAsia="Times New Roman"/>
          <w:b/>
          <w:color w:val="000000"/>
          <w:sz w:val="28"/>
          <w:szCs w:val="28"/>
        </w:rPr>
        <w:t xml:space="preserve">ở cấp xã thôi việc </w:t>
      </w:r>
      <w:r w:rsidR="00625D8D" w:rsidRPr="00E27E4A">
        <w:rPr>
          <w:rFonts w:eastAsia="Times New Roman"/>
          <w:b/>
          <w:color w:val="000000"/>
          <w:sz w:val="28"/>
          <w:szCs w:val="28"/>
        </w:rPr>
        <w:t>trên địa bàn tỉnh Quảng Trị</w:t>
      </w:r>
    </w:p>
    <w:p w:rsidR="00E27E4A" w:rsidRPr="00E27E4A" w:rsidRDefault="00917844" w:rsidP="00625D8D">
      <w:pPr>
        <w:shd w:val="clear" w:color="auto" w:fill="FFFFFF"/>
        <w:spacing w:line="380" w:lineRule="exact"/>
        <w:jc w:val="center"/>
        <w:textAlignment w:val="baseline"/>
        <w:rPr>
          <w:rFonts w:eastAsia="Times New Roman"/>
          <w:b/>
          <w:color w:val="000000"/>
          <w:sz w:val="28"/>
          <w:szCs w:val="28"/>
        </w:rPr>
      </w:pPr>
      <w:r w:rsidRPr="00917844">
        <w:rPr>
          <w:rFonts w:ascii=".VnTime" w:hAnsi=".VnTime"/>
          <w:noProof/>
          <w:sz w:val="28"/>
          <w:szCs w:val="28"/>
          <w:lang w:val="vi-VN" w:eastAsia="vi-VN"/>
        </w:rPr>
        <w:pict>
          <v:line id="_x0000_s1026" style="position:absolute;left:0;text-align:left;z-index:251660288" from="136.05pt,7.65pt" to="330.45pt,7.65pt"/>
        </w:pict>
      </w:r>
    </w:p>
    <w:p w:rsidR="00D06914" w:rsidRPr="0062458E" w:rsidRDefault="00D06914" w:rsidP="0062458E">
      <w:pPr>
        <w:spacing w:before="120" w:after="120" w:line="380" w:lineRule="exact"/>
        <w:ind w:left="720" w:firstLine="720"/>
        <w:jc w:val="both"/>
        <w:rPr>
          <w:rFonts w:eastAsia="Times New Roman" w:cstheme="minorBidi"/>
          <w:sz w:val="28"/>
          <w:szCs w:val="28"/>
          <w:lang w:eastAsia="en-US"/>
        </w:rPr>
      </w:pPr>
      <w:r w:rsidRPr="0062458E">
        <w:rPr>
          <w:rFonts w:eastAsia="Times New Roman" w:cstheme="minorBidi"/>
          <w:sz w:val="28"/>
          <w:szCs w:val="28"/>
          <w:lang w:val="vi-VN" w:eastAsia="en-US"/>
        </w:rPr>
        <w:t xml:space="preserve">Kính trình: </w:t>
      </w:r>
      <w:r w:rsidR="002022C4" w:rsidRPr="0062458E">
        <w:rPr>
          <w:rFonts w:eastAsia="Times New Roman" w:cstheme="minorBidi"/>
          <w:sz w:val="28"/>
          <w:szCs w:val="28"/>
          <w:lang w:val="vi-VN" w:eastAsia="en-US"/>
        </w:rPr>
        <w:t xml:space="preserve">Hội đồng nhân dân tỉnh </w:t>
      </w:r>
      <w:r w:rsidR="006206E7" w:rsidRPr="0062458E">
        <w:rPr>
          <w:rFonts w:eastAsia="Times New Roman" w:cstheme="minorBidi"/>
          <w:sz w:val="28"/>
          <w:szCs w:val="28"/>
          <w:lang w:val="vi-VN" w:eastAsia="en-US"/>
        </w:rPr>
        <w:t>Khóa VII, kỳ họp thứ 1</w:t>
      </w:r>
      <w:r w:rsidR="00625D8D">
        <w:rPr>
          <w:rFonts w:eastAsia="Times New Roman" w:cstheme="minorBidi"/>
          <w:sz w:val="28"/>
          <w:szCs w:val="28"/>
          <w:lang w:eastAsia="en-US"/>
        </w:rPr>
        <w:t>5</w:t>
      </w:r>
      <w:r w:rsidR="0062458E">
        <w:rPr>
          <w:rFonts w:eastAsia="Times New Roman" w:cstheme="minorBidi"/>
          <w:sz w:val="28"/>
          <w:szCs w:val="28"/>
          <w:lang w:eastAsia="en-US"/>
        </w:rPr>
        <w:t>.</w:t>
      </w:r>
    </w:p>
    <w:p w:rsidR="00D06914" w:rsidRPr="0062458E" w:rsidRDefault="00D06914"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 xml:space="preserve">Thực hiện </w:t>
      </w:r>
      <w:r w:rsidR="00605A20" w:rsidRPr="0062458E">
        <w:rPr>
          <w:rFonts w:eastAsia="Times New Roman" w:cstheme="minorBidi"/>
          <w:sz w:val="28"/>
          <w:szCs w:val="28"/>
          <w:lang w:val="vi-VN" w:eastAsia="en-US"/>
        </w:rPr>
        <w:t xml:space="preserve">Nghị quyết số 653/2019/UBTVQH14 ngày 12/3/2019 của Ủy ban thường vụ Quốc Hội về việc sắp xếp các đơn vị hành chính cấp huyện, cấp xã trong giai đoạn 2019-2021; </w:t>
      </w:r>
      <w:r w:rsidR="0090397D" w:rsidRPr="0062458E">
        <w:rPr>
          <w:rFonts w:eastAsia="Times New Roman" w:cstheme="minorBidi"/>
          <w:sz w:val="28"/>
          <w:szCs w:val="28"/>
          <w:lang w:val="vi-VN" w:eastAsia="en-US"/>
        </w:rPr>
        <w:t xml:space="preserve"> Nghị định số 34/2019/NĐ-CP ngày 24 tháng 4 năm 2019 của Chính phủ sửa đổi, bổ sung một số quy định về cán bộ, công chức cấp xã và những người hoạt động không chuyên trách ở cấp xã; thôn, tổ dân phố</w:t>
      </w:r>
      <w:r w:rsidR="0090397D">
        <w:rPr>
          <w:rFonts w:eastAsia="Times New Roman" w:cstheme="minorBidi"/>
          <w:sz w:val="28"/>
          <w:szCs w:val="28"/>
          <w:lang w:eastAsia="en-US"/>
        </w:rPr>
        <w:t>;</w:t>
      </w:r>
      <w:r w:rsidR="0090397D" w:rsidRPr="0062458E">
        <w:rPr>
          <w:rFonts w:eastAsia="Times New Roman" w:cstheme="minorBidi"/>
          <w:sz w:val="28"/>
          <w:szCs w:val="28"/>
          <w:lang w:val="vi-VN" w:eastAsia="en-US"/>
        </w:rPr>
        <w:t xml:space="preserve"> </w:t>
      </w:r>
      <w:r w:rsidR="00605A20" w:rsidRPr="0062458E">
        <w:rPr>
          <w:rFonts w:eastAsia="Times New Roman" w:cstheme="minorBidi"/>
          <w:sz w:val="28"/>
          <w:szCs w:val="28"/>
          <w:lang w:val="vi-VN" w:eastAsia="en-US"/>
        </w:rPr>
        <w:t xml:space="preserve">Nghị quyết số 32/NQ-CP ngày 14/5/2019 của Chính phủ Ban hành Kế hoạch thực hiện sắp xếp các đơn vị hành chính cấp huyện, cấp xã trong giai đoạn 2019-2021 và </w:t>
      </w:r>
      <w:r w:rsidR="00165822" w:rsidRPr="0062458E">
        <w:rPr>
          <w:rFonts w:eastAsia="Times New Roman" w:cstheme="minorBidi"/>
          <w:sz w:val="28"/>
          <w:szCs w:val="28"/>
          <w:lang w:val="vi-VN" w:eastAsia="en-US"/>
        </w:rPr>
        <w:t xml:space="preserve"> </w:t>
      </w:r>
      <w:r w:rsidR="00BF3946" w:rsidRPr="0062458E">
        <w:rPr>
          <w:rFonts w:eastAsia="Times New Roman" w:cstheme="minorBidi"/>
          <w:sz w:val="28"/>
          <w:szCs w:val="28"/>
          <w:lang w:val="vi-VN" w:eastAsia="en-US"/>
        </w:rPr>
        <w:t>Nghị quyết số </w:t>
      </w:r>
      <w:hyperlink r:id="rId8" w:tgtFrame="_blank" w:tooltip="Nghị quyết 01/2019/NQ-HĐND" w:history="1">
        <w:r w:rsidR="00BF3946" w:rsidRPr="0062458E">
          <w:rPr>
            <w:rFonts w:eastAsia="Times New Roman" w:cstheme="minorBidi"/>
            <w:sz w:val="28"/>
            <w:szCs w:val="28"/>
            <w:lang w:val="vi-VN" w:eastAsia="en-US"/>
          </w:rPr>
          <w:t>22/2019/NQ-HĐND</w:t>
        </w:r>
      </w:hyperlink>
      <w:r w:rsidR="00BF3946" w:rsidRPr="0062458E">
        <w:rPr>
          <w:rFonts w:eastAsia="Times New Roman" w:cstheme="minorBidi"/>
          <w:sz w:val="28"/>
          <w:szCs w:val="28"/>
          <w:lang w:val="vi-VN" w:eastAsia="en-US"/>
        </w:rPr>
        <w:t> ngày 17/10/2019 của H</w:t>
      </w:r>
      <w:r w:rsidR="00B27067" w:rsidRPr="0062458E">
        <w:rPr>
          <w:rFonts w:eastAsia="Times New Roman" w:cstheme="minorBidi"/>
          <w:sz w:val="28"/>
          <w:szCs w:val="28"/>
          <w:lang w:val="vi-VN" w:eastAsia="en-US"/>
        </w:rPr>
        <w:t>ội đồng nhân dân</w:t>
      </w:r>
      <w:r w:rsidR="00BF3946" w:rsidRPr="0062458E">
        <w:rPr>
          <w:rFonts w:eastAsia="Times New Roman" w:cstheme="minorBidi"/>
          <w:sz w:val="28"/>
          <w:szCs w:val="28"/>
          <w:lang w:val="vi-VN" w:eastAsia="en-US"/>
        </w:rPr>
        <w:t xml:space="preserve"> tỉnh về việc thông qua Đề án sắp xếp đơn vị hành chính cấp huyện, cấp xã giai đoạn 2019-2021 trên địa bàn tỉnh Quảng Trị</w:t>
      </w:r>
      <w:r w:rsidR="00605A20" w:rsidRPr="0062458E">
        <w:rPr>
          <w:rFonts w:eastAsia="Times New Roman" w:cstheme="minorBidi"/>
          <w:sz w:val="28"/>
          <w:szCs w:val="28"/>
          <w:lang w:val="vi-VN" w:eastAsia="en-US"/>
        </w:rPr>
        <w:t>,</w:t>
      </w:r>
      <w:r w:rsidR="003738EC" w:rsidRPr="0062458E">
        <w:rPr>
          <w:rFonts w:eastAsia="Times New Roman" w:cstheme="minorBidi"/>
          <w:sz w:val="28"/>
          <w:szCs w:val="28"/>
          <w:lang w:val="vi-VN" w:eastAsia="en-US"/>
        </w:rPr>
        <w:t xml:space="preserve">  </w:t>
      </w:r>
      <w:r w:rsidRPr="0062458E">
        <w:rPr>
          <w:rFonts w:eastAsia="Times New Roman" w:cstheme="minorBidi"/>
          <w:sz w:val="28"/>
          <w:szCs w:val="28"/>
          <w:lang w:val="vi-VN" w:eastAsia="en-US"/>
        </w:rPr>
        <w:t xml:space="preserve">Ủy ban nhân dân tỉnh </w:t>
      </w:r>
      <w:r w:rsidR="00BF3946" w:rsidRPr="0062458E">
        <w:rPr>
          <w:rFonts w:eastAsia="Times New Roman" w:cstheme="minorBidi"/>
          <w:sz w:val="28"/>
          <w:szCs w:val="28"/>
          <w:lang w:val="vi-VN" w:eastAsia="en-US"/>
        </w:rPr>
        <w:t xml:space="preserve">kính trình Hội đồng nhân dân tỉnh </w:t>
      </w:r>
      <w:r w:rsidRPr="0062458E">
        <w:rPr>
          <w:rFonts w:eastAsia="Times New Roman" w:cstheme="minorBidi"/>
          <w:sz w:val="28"/>
          <w:szCs w:val="28"/>
          <w:lang w:val="vi-VN" w:eastAsia="en-US"/>
        </w:rPr>
        <w:t xml:space="preserve">xem xét, </w:t>
      </w:r>
      <w:r w:rsidR="0007008C">
        <w:rPr>
          <w:rFonts w:eastAsia="Times New Roman" w:cstheme="minorBidi"/>
          <w:sz w:val="28"/>
          <w:szCs w:val="28"/>
          <w:lang w:eastAsia="en-US"/>
        </w:rPr>
        <w:t>thông qua Nghị quyết về</w:t>
      </w:r>
      <w:r w:rsidR="00F67B6E" w:rsidRPr="0062458E">
        <w:rPr>
          <w:rFonts w:eastAsia="Times New Roman" w:cstheme="minorBidi"/>
          <w:sz w:val="28"/>
          <w:szCs w:val="28"/>
          <w:lang w:val="vi-VN" w:eastAsia="en-US"/>
        </w:rPr>
        <w:t xml:space="preserve"> </w:t>
      </w:r>
      <w:r w:rsidR="00165822" w:rsidRPr="0062458E">
        <w:rPr>
          <w:rFonts w:eastAsia="Times New Roman" w:cstheme="minorBidi"/>
          <w:sz w:val="28"/>
          <w:szCs w:val="28"/>
          <w:lang w:val="vi-VN" w:eastAsia="en-US"/>
        </w:rPr>
        <w:t xml:space="preserve">chính sách hỗ trợ </w:t>
      </w:r>
      <w:r w:rsidR="00DA77BE" w:rsidRPr="0062458E">
        <w:rPr>
          <w:rFonts w:eastAsia="Times New Roman" w:cstheme="minorBidi"/>
          <w:sz w:val="28"/>
          <w:szCs w:val="28"/>
          <w:lang w:val="vi-VN" w:eastAsia="en-US"/>
        </w:rPr>
        <w:t xml:space="preserve"> </w:t>
      </w:r>
      <w:r w:rsidR="00CB74C7" w:rsidRPr="0062458E">
        <w:rPr>
          <w:rFonts w:eastAsia="Times New Roman" w:cstheme="minorBidi"/>
          <w:sz w:val="28"/>
          <w:szCs w:val="28"/>
          <w:lang w:val="vi-VN" w:eastAsia="en-US"/>
        </w:rPr>
        <w:t xml:space="preserve">đối với </w:t>
      </w:r>
      <w:r w:rsidR="00DA77BE" w:rsidRPr="0062458E">
        <w:rPr>
          <w:rFonts w:eastAsia="Times New Roman" w:cstheme="minorBidi"/>
          <w:sz w:val="28"/>
          <w:szCs w:val="28"/>
          <w:lang w:val="vi-VN" w:eastAsia="en-US"/>
        </w:rPr>
        <w:t xml:space="preserve">người hoạt động không chuyên trách ở </w:t>
      </w:r>
      <w:r w:rsidR="00165822" w:rsidRPr="0062458E">
        <w:rPr>
          <w:rFonts w:eastAsia="Times New Roman" w:cstheme="minorBidi"/>
          <w:sz w:val="28"/>
          <w:szCs w:val="28"/>
          <w:lang w:val="vi-VN" w:eastAsia="en-US"/>
        </w:rPr>
        <w:t xml:space="preserve">cấp </w:t>
      </w:r>
      <w:r w:rsidR="00DA77BE" w:rsidRPr="0062458E">
        <w:rPr>
          <w:rFonts w:eastAsia="Times New Roman" w:cstheme="minorBidi"/>
          <w:sz w:val="28"/>
          <w:szCs w:val="28"/>
          <w:lang w:val="vi-VN" w:eastAsia="en-US"/>
        </w:rPr>
        <w:t xml:space="preserve">xã </w:t>
      </w:r>
      <w:r w:rsidR="00AD6291" w:rsidRPr="0062458E">
        <w:rPr>
          <w:rFonts w:eastAsia="Times New Roman" w:cstheme="minorBidi"/>
          <w:sz w:val="28"/>
          <w:szCs w:val="28"/>
          <w:lang w:val="vi-VN" w:eastAsia="en-US"/>
        </w:rPr>
        <w:t>thôi việc</w:t>
      </w:r>
      <w:r w:rsidR="00DA77BE" w:rsidRPr="0062458E">
        <w:rPr>
          <w:rFonts w:eastAsia="Times New Roman" w:cstheme="minorBidi"/>
          <w:sz w:val="28"/>
          <w:szCs w:val="28"/>
          <w:lang w:val="vi-VN" w:eastAsia="en-US"/>
        </w:rPr>
        <w:t xml:space="preserve"> do dôi dư khi thực hiện </w:t>
      </w:r>
      <w:r w:rsidR="00165822" w:rsidRPr="0062458E">
        <w:rPr>
          <w:rFonts w:eastAsia="Times New Roman" w:cstheme="minorBidi"/>
          <w:sz w:val="28"/>
          <w:szCs w:val="28"/>
          <w:lang w:val="vi-VN" w:eastAsia="en-US"/>
        </w:rPr>
        <w:t>sắp xếp đơn vị hành chính cấp xã</w:t>
      </w:r>
      <w:r w:rsidR="00C30DCD" w:rsidRPr="0062458E">
        <w:rPr>
          <w:rFonts w:eastAsia="Times New Roman" w:cstheme="minorBidi"/>
          <w:sz w:val="28"/>
          <w:szCs w:val="28"/>
          <w:lang w:val="vi-VN" w:eastAsia="en-US"/>
        </w:rPr>
        <w:t xml:space="preserve"> và giảm số lượng theo quy định</w:t>
      </w:r>
      <w:r w:rsidR="003738EC" w:rsidRPr="0062458E">
        <w:rPr>
          <w:rFonts w:eastAsia="Times New Roman" w:cstheme="minorBidi"/>
          <w:sz w:val="28"/>
          <w:szCs w:val="28"/>
          <w:lang w:val="vi-VN" w:eastAsia="en-US"/>
        </w:rPr>
        <w:t xml:space="preserve"> Nghị định số 34/2019/NĐ-CP ngày 24 tháng 4 năm 2019 của Chính phủ</w:t>
      </w:r>
      <w:r w:rsidR="00DA77BE" w:rsidRPr="0062458E">
        <w:rPr>
          <w:rFonts w:eastAsia="Times New Roman" w:cstheme="minorBidi"/>
          <w:sz w:val="28"/>
          <w:szCs w:val="28"/>
          <w:lang w:val="vi-VN" w:eastAsia="en-US"/>
        </w:rPr>
        <w:t xml:space="preserve">, </w:t>
      </w:r>
      <w:r w:rsidRPr="0062458E">
        <w:rPr>
          <w:rFonts w:eastAsia="Times New Roman" w:cstheme="minorBidi"/>
          <w:sz w:val="28"/>
          <w:szCs w:val="28"/>
          <w:lang w:val="vi-VN" w:eastAsia="en-US"/>
        </w:rPr>
        <w:t>cụ thể</w:t>
      </w:r>
      <w:r w:rsidR="00DA77BE" w:rsidRPr="0062458E">
        <w:rPr>
          <w:rFonts w:eastAsia="Times New Roman" w:cstheme="minorBidi"/>
          <w:sz w:val="28"/>
          <w:szCs w:val="28"/>
          <w:lang w:val="vi-VN" w:eastAsia="en-US"/>
        </w:rPr>
        <w:t xml:space="preserve"> như sau</w:t>
      </w:r>
      <w:r w:rsidRPr="0062458E">
        <w:rPr>
          <w:rFonts w:eastAsia="Times New Roman" w:cstheme="minorBidi"/>
          <w:sz w:val="28"/>
          <w:szCs w:val="28"/>
          <w:lang w:val="vi-VN" w:eastAsia="en-US"/>
        </w:rPr>
        <w:t>:</w:t>
      </w:r>
    </w:p>
    <w:p w:rsidR="00D06914" w:rsidRPr="009C0E27" w:rsidRDefault="00D06914" w:rsidP="0062458E">
      <w:pPr>
        <w:spacing w:before="120" w:after="120" w:line="380" w:lineRule="exact"/>
        <w:ind w:firstLine="567"/>
        <w:jc w:val="both"/>
        <w:rPr>
          <w:rFonts w:eastAsia="Times New Roman" w:cstheme="minorBidi"/>
          <w:b/>
          <w:sz w:val="28"/>
          <w:szCs w:val="28"/>
          <w:lang w:val="vi-VN" w:eastAsia="en-US"/>
        </w:rPr>
      </w:pPr>
      <w:r w:rsidRPr="009C0E27">
        <w:rPr>
          <w:rFonts w:eastAsia="Times New Roman" w:cstheme="minorBidi"/>
          <w:b/>
          <w:sz w:val="28"/>
          <w:szCs w:val="28"/>
          <w:lang w:val="vi-VN" w:eastAsia="en-US"/>
        </w:rPr>
        <w:t xml:space="preserve">I. </w:t>
      </w:r>
      <w:r w:rsidR="002F1E99" w:rsidRPr="009C0E27">
        <w:rPr>
          <w:rFonts w:eastAsia="Times New Roman" w:cstheme="minorBidi"/>
          <w:b/>
          <w:sz w:val="28"/>
          <w:szCs w:val="28"/>
          <w:lang w:val="vi-VN" w:eastAsia="en-US"/>
        </w:rPr>
        <w:t xml:space="preserve">CĂN CỨ PHÁP LÝ VÀ </w:t>
      </w:r>
      <w:r w:rsidRPr="009C0E27">
        <w:rPr>
          <w:rFonts w:eastAsia="Times New Roman" w:cstheme="minorBidi"/>
          <w:b/>
          <w:sz w:val="28"/>
          <w:szCs w:val="28"/>
          <w:lang w:val="vi-VN" w:eastAsia="en-US"/>
        </w:rPr>
        <w:t xml:space="preserve">SỰ CẦN THIẾT BAN HÀNH </w:t>
      </w:r>
      <w:r w:rsidR="00165822" w:rsidRPr="009C0E27">
        <w:rPr>
          <w:rFonts w:eastAsia="Times New Roman" w:cstheme="minorBidi"/>
          <w:b/>
          <w:sz w:val="28"/>
          <w:szCs w:val="28"/>
          <w:lang w:val="vi-VN" w:eastAsia="en-US"/>
        </w:rPr>
        <w:t>CHÍNH SÁCH</w:t>
      </w:r>
    </w:p>
    <w:p w:rsidR="00D06914" w:rsidRPr="009C0E27" w:rsidRDefault="00D06914" w:rsidP="0062458E">
      <w:pPr>
        <w:spacing w:before="120" w:after="120" w:line="380" w:lineRule="exact"/>
        <w:ind w:firstLine="567"/>
        <w:jc w:val="both"/>
        <w:rPr>
          <w:rFonts w:eastAsia="Times New Roman" w:cstheme="minorBidi"/>
          <w:b/>
          <w:sz w:val="28"/>
          <w:szCs w:val="28"/>
          <w:lang w:val="vi-VN" w:eastAsia="en-US"/>
        </w:rPr>
      </w:pPr>
      <w:r w:rsidRPr="009C0E27">
        <w:rPr>
          <w:rFonts w:eastAsia="Times New Roman" w:cstheme="minorBidi"/>
          <w:b/>
          <w:sz w:val="28"/>
          <w:szCs w:val="28"/>
          <w:lang w:val="vi-VN" w:eastAsia="en-US"/>
        </w:rPr>
        <w:t>1. Cơ sở pháp lý</w:t>
      </w:r>
      <w:r w:rsidR="003F539C" w:rsidRPr="009C0E27">
        <w:rPr>
          <w:rFonts w:eastAsia="Times New Roman" w:cstheme="minorBidi"/>
          <w:b/>
          <w:sz w:val="28"/>
          <w:szCs w:val="28"/>
          <w:lang w:eastAsia="en-US"/>
        </w:rPr>
        <w:t>:</w:t>
      </w:r>
      <w:r w:rsidRPr="009C0E27">
        <w:rPr>
          <w:rFonts w:eastAsia="Times New Roman" w:cstheme="minorBidi"/>
          <w:b/>
          <w:sz w:val="28"/>
          <w:szCs w:val="28"/>
          <w:lang w:val="vi-VN" w:eastAsia="en-US"/>
        </w:rPr>
        <w:t xml:space="preserve"> </w:t>
      </w:r>
    </w:p>
    <w:p w:rsidR="00FA2E20" w:rsidRPr="0062458E" w:rsidRDefault="00FA2E20"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Luật tổ chức chính quyền địa phương năm 2015;</w:t>
      </w:r>
    </w:p>
    <w:p w:rsidR="00FA2E20" w:rsidRPr="0062458E" w:rsidRDefault="00FA2E20"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Luật Ngân sách Nhà nước năm 2015;</w:t>
      </w:r>
    </w:p>
    <w:p w:rsidR="00D97575" w:rsidRPr="0062458E" w:rsidRDefault="00D97575" w:rsidP="00D97575">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Nghị quyết số 653/2019/UBTVQH14 ngày 12/3/2019 của Ủy ban thường vụ Quốc Hội về việc sắp xếp các đơn vị hành chính cấp huyện, cấp xã trong giai đoạn 2019-2021;</w:t>
      </w:r>
    </w:p>
    <w:p w:rsidR="00FA2E20" w:rsidRPr="0062458E" w:rsidRDefault="00FA2E20"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lastRenderedPageBreak/>
        <w:t>Nghị định số 34/2019/NĐ-CP ngày 24 tháng 4 năm 2019 của Chính phủ sửa đổi, bổ sung một số quy định về cán bộ, công chức cấp xã và những người hoạt động không chuyên trách ở cấp xã; thôn, tổ dân phố;</w:t>
      </w:r>
    </w:p>
    <w:p w:rsidR="00AF15CD" w:rsidRPr="0062458E" w:rsidRDefault="00AF15CD"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Nghị quyết số 32/NQ-CP ngày 14/5/2019 của Chính phủ ban hành Kế hoạch sắp xếp đơn vị hành chính cấp huyện, cấp xã trong giai đoạn 2019-2021;</w:t>
      </w:r>
    </w:p>
    <w:p w:rsidR="00FA2E20" w:rsidRPr="0062458E" w:rsidRDefault="00FA2E20"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Nghị quyết số </w:t>
      </w:r>
      <w:hyperlink r:id="rId9" w:tgtFrame="_blank" w:tooltip="Nghị quyết 158/2010/NQ-HĐND" w:history="1">
        <w:r w:rsidRPr="0062458E">
          <w:rPr>
            <w:rFonts w:eastAsia="Times New Roman" w:cstheme="minorBidi"/>
            <w:sz w:val="28"/>
            <w:szCs w:val="28"/>
            <w:lang w:val="vi-VN" w:eastAsia="en-US"/>
          </w:rPr>
          <w:t>26/2013/NQ-HĐND</w:t>
        </w:r>
      </w:hyperlink>
      <w:r w:rsidRPr="0062458E">
        <w:rPr>
          <w:rFonts w:eastAsia="Times New Roman" w:cstheme="minorBidi"/>
          <w:sz w:val="28"/>
          <w:szCs w:val="28"/>
          <w:lang w:val="vi-VN" w:eastAsia="en-US"/>
        </w:rPr>
        <w:t> ngày 11/12/2013 của HĐND tỉnh về quy định số lượng, chức danh, mức phụ cấp đối với những người hoạt động không chuyên trách và khoán kinh phí hoạt động đối với các tổ chức chính trị- xã hội ở xã, phường, thị trấn và thôn, bản</w:t>
      </w:r>
      <w:r w:rsidR="00B05A7C" w:rsidRPr="0062458E">
        <w:rPr>
          <w:rFonts w:eastAsia="Times New Roman" w:cstheme="minorBidi"/>
          <w:sz w:val="28"/>
          <w:szCs w:val="28"/>
          <w:lang w:val="vi-VN" w:eastAsia="en-US"/>
        </w:rPr>
        <w:t>,</w:t>
      </w:r>
      <w:r w:rsidRPr="0062458E">
        <w:rPr>
          <w:rFonts w:eastAsia="Times New Roman" w:cstheme="minorBidi"/>
          <w:sz w:val="28"/>
          <w:szCs w:val="28"/>
          <w:lang w:val="vi-VN" w:eastAsia="en-US"/>
        </w:rPr>
        <w:t xml:space="preserve"> khu phố;</w:t>
      </w:r>
    </w:p>
    <w:p w:rsidR="00FA2E20" w:rsidRPr="0062458E" w:rsidRDefault="00FA2E20"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Nghị quyết số </w:t>
      </w:r>
      <w:hyperlink r:id="rId10" w:tgtFrame="_blank" w:tooltip="Nghị quyết 01/2019/NQ-HĐND" w:history="1">
        <w:r w:rsidR="00AF15CD" w:rsidRPr="0062458E">
          <w:rPr>
            <w:rFonts w:eastAsia="Times New Roman" w:cstheme="minorBidi"/>
            <w:sz w:val="28"/>
            <w:szCs w:val="28"/>
            <w:lang w:val="vi-VN" w:eastAsia="en-US"/>
          </w:rPr>
          <w:t>22</w:t>
        </w:r>
        <w:r w:rsidRPr="0062458E">
          <w:rPr>
            <w:rFonts w:eastAsia="Times New Roman" w:cstheme="minorBidi"/>
            <w:sz w:val="28"/>
            <w:szCs w:val="28"/>
            <w:lang w:val="vi-VN" w:eastAsia="en-US"/>
          </w:rPr>
          <w:t>/NQ-HĐND</w:t>
        </w:r>
      </w:hyperlink>
      <w:r w:rsidRPr="0062458E">
        <w:rPr>
          <w:rFonts w:eastAsia="Times New Roman" w:cstheme="minorBidi"/>
          <w:sz w:val="28"/>
          <w:szCs w:val="28"/>
          <w:lang w:val="vi-VN" w:eastAsia="en-US"/>
        </w:rPr>
        <w:t> ngày 17/10/2019 của HĐND tỉnh về việc thông qua Đề án sắp xếp đơn vị hành chính cấp huyện, cấp xã giai đoạn 2019-2021 trên địa bàn tỉnh Quảng Trị</w:t>
      </w:r>
      <w:r w:rsidR="00BF3946" w:rsidRPr="0062458E">
        <w:rPr>
          <w:rFonts w:eastAsia="Times New Roman" w:cstheme="minorBidi"/>
          <w:sz w:val="28"/>
          <w:szCs w:val="28"/>
          <w:lang w:val="vi-VN" w:eastAsia="en-US"/>
        </w:rPr>
        <w:t>.</w:t>
      </w:r>
    </w:p>
    <w:p w:rsidR="00D06914" w:rsidRPr="000007B8" w:rsidRDefault="00D06914" w:rsidP="0062458E">
      <w:pPr>
        <w:spacing w:before="120" w:after="120" w:line="380" w:lineRule="exact"/>
        <w:ind w:firstLine="567"/>
        <w:jc w:val="both"/>
        <w:rPr>
          <w:rFonts w:eastAsia="Times New Roman" w:cstheme="minorBidi"/>
          <w:b/>
          <w:sz w:val="28"/>
          <w:szCs w:val="28"/>
          <w:lang w:eastAsia="en-US"/>
        </w:rPr>
      </w:pPr>
      <w:r w:rsidRPr="000007B8">
        <w:rPr>
          <w:rFonts w:eastAsia="Times New Roman" w:cstheme="minorBidi"/>
          <w:b/>
          <w:sz w:val="28"/>
          <w:szCs w:val="28"/>
          <w:lang w:val="vi-VN" w:eastAsia="en-US"/>
        </w:rPr>
        <w:t xml:space="preserve">2.  Sự cần thiết ban hành </w:t>
      </w:r>
      <w:r w:rsidR="00165822" w:rsidRPr="000007B8">
        <w:rPr>
          <w:rFonts w:eastAsia="Times New Roman" w:cstheme="minorBidi"/>
          <w:b/>
          <w:sz w:val="28"/>
          <w:szCs w:val="28"/>
          <w:lang w:val="vi-VN" w:eastAsia="en-US"/>
        </w:rPr>
        <w:t>chính sách hỗ trợ</w:t>
      </w:r>
      <w:r w:rsidR="003F539C" w:rsidRPr="000007B8">
        <w:rPr>
          <w:rFonts w:eastAsia="Times New Roman" w:cstheme="minorBidi"/>
          <w:b/>
          <w:sz w:val="28"/>
          <w:szCs w:val="28"/>
          <w:lang w:eastAsia="en-US"/>
        </w:rPr>
        <w:t>:</w:t>
      </w:r>
    </w:p>
    <w:p w:rsidR="00074246" w:rsidRDefault="00E86CD8" w:rsidP="00074246">
      <w:pPr>
        <w:spacing w:before="120" w:after="120" w:line="380" w:lineRule="exact"/>
        <w:ind w:firstLine="567"/>
        <w:jc w:val="both"/>
        <w:rPr>
          <w:rFonts w:eastAsia="Times New Roman" w:cstheme="minorBidi"/>
          <w:sz w:val="28"/>
          <w:szCs w:val="28"/>
          <w:lang w:eastAsia="en-US"/>
        </w:rPr>
      </w:pPr>
      <w:r>
        <w:rPr>
          <w:rFonts w:eastAsia="Times New Roman" w:cstheme="minorBidi"/>
          <w:sz w:val="28"/>
          <w:szCs w:val="28"/>
          <w:lang w:eastAsia="en-US"/>
        </w:rPr>
        <w:t>Thực hiện các quy định của Ủy ban thường vụ Quốc hội, Chính phủ, Bộ Nội vụ</w:t>
      </w:r>
      <w:r w:rsidR="001D6D5B">
        <w:rPr>
          <w:rFonts w:eastAsia="Times New Roman" w:cstheme="minorBidi"/>
          <w:sz w:val="28"/>
          <w:szCs w:val="28"/>
          <w:lang w:eastAsia="en-US"/>
        </w:rPr>
        <w:t xml:space="preserve"> </w:t>
      </w:r>
      <w:r>
        <w:rPr>
          <w:rFonts w:eastAsia="Times New Roman" w:cstheme="minorBidi"/>
          <w:sz w:val="28"/>
          <w:szCs w:val="28"/>
          <w:lang w:eastAsia="en-US"/>
        </w:rPr>
        <w:t xml:space="preserve">về cán bộ, công chức và người hoạt động không chuyên trách cấp xã  trong đó có quy định giảm số lượng, mức khoán phụ cấp và chính sách hỗ trợ đối với người hoạt động không chuyên trách </w:t>
      </w:r>
      <w:r w:rsidR="00074246">
        <w:rPr>
          <w:rFonts w:eastAsia="Times New Roman" w:cstheme="minorBidi"/>
          <w:sz w:val="28"/>
          <w:szCs w:val="28"/>
          <w:lang w:eastAsia="en-US"/>
        </w:rPr>
        <w:t xml:space="preserve">thôi việc do </w:t>
      </w:r>
      <w:r>
        <w:rPr>
          <w:rFonts w:eastAsia="Times New Roman" w:cstheme="minorBidi"/>
          <w:sz w:val="28"/>
          <w:szCs w:val="28"/>
          <w:lang w:eastAsia="en-US"/>
        </w:rPr>
        <w:t xml:space="preserve">dôi dư. Trong thời gian tới khi thực hiện sắp xếp đơn vị hành chính cấp xã và thực hiện giảm số lượng người hoạt động không chuyên trách </w:t>
      </w:r>
      <w:r w:rsidR="001D6D5B">
        <w:rPr>
          <w:rFonts w:eastAsia="Times New Roman" w:cstheme="minorBidi"/>
          <w:sz w:val="28"/>
          <w:szCs w:val="28"/>
          <w:lang w:eastAsia="en-US"/>
        </w:rPr>
        <w:t>theo quy định</w:t>
      </w:r>
      <w:r w:rsidR="001D6D5B" w:rsidRPr="001D6D5B">
        <w:rPr>
          <w:rFonts w:eastAsia="Times New Roman" w:cstheme="minorBidi"/>
          <w:sz w:val="28"/>
          <w:szCs w:val="28"/>
          <w:lang w:val="vi-VN" w:eastAsia="en-US"/>
        </w:rPr>
        <w:t xml:space="preserve"> </w:t>
      </w:r>
      <w:r w:rsidR="001D6D5B" w:rsidRPr="0062458E">
        <w:rPr>
          <w:rFonts w:eastAsia="Times New Roman" w:cstheme="minorBidi"/>
          <w:sz w:val="28"/>
          <w:szCs w:val="28"/>
          <w:lang w:val="vi-VN" w:eastAsia="en-US"/>
        </w:rPr>
        <w:t>Nghị định số 34/2019/NĐ-CP</w:t>
      </w:r>
      <w:r w:rsidR="001D6D5B">
        <w:rPr>
          <w:rFonts w:eastAsia="Times New Roman" w:cstheme="minorBidi"/>
          <w:sz w:val="28"/>
          <w:szCs w:val="28"/>
          <w:lang w:eastAsia="en-US"/>
        </w:rPr>
        <w:t xml:space="preserve"> </w:t>
      </w:r>
      <w:r>
        <w:rPr>
          <w:rFonts w:eastAsia="Times New Roman" w:cstheme="minorBidi"/>
          <w:sz w:val="28"/>
          <w:szCs w:val="28"/>
          <w:lang w:eastAsia="en-US"/>
        </w:rPr>
        <w:t xml:space="preserve">thì toàn tỉnh dôi dư </w:t>
      </w:r>
      <w:r w:rsidR="003D41C3">
        <w:rPr>
          <w:rFonts w:eastAsia="Times New Roman" w:cstheme="minorBidi"/>
          <w:sz w:val="28"/>
          <w:szCs w:val="28"/>
          <w:lang w:eastAsia="en-US"/>
        </w:rPr>
        <w:t>583</w:t>
      </w:r>
      <w:r>
        <w:rPr>
          <w:rFonts w:eastAsia="Times New Roman" w:cstheme="minorBidi"/>
          <w:sz w:val="28"/>
          <w:szCs w:val="28"/>
          <w:lang w:eastAsia="en-US"/>
        </w:rPr>
        <w:t xml:space="preserve"> người</w:t>
      </w:r>
      <w:r w:rsidR="00715FD1">
        <w:rPr>
          <w:rFonts w:eastAsia="Times New Roman" w:cstheme="minorBidi"/>
          <w:sz w:val="28"/>
          <w:szCs w:val="28"/>
          <w:lang w:eastAsia="en-US"/>
        </w:rPr>
        <w:t xml:space="preserve"> (trong đó dôi dư do </w:t>
      </w:r>
      <w:r w:rsidR="00052747">
        <w:rPr>
          <w:rFonts w:eastAsia="Times New Roman" w:cstheme="minorBidi"/>
          <w:sz w:val="28"/>
          <w:szCs w:val="28"/>
          <w:lang w:eastAsia="en-US"/>
        </w:rPr>
        <w:t>sắp xếp đơn vị hành chính cấp</w:t>
      </w:r>
      <w:r w:rsidR="00715FD1">
        <w:rPr>
          <w:rFonts w:eastAsia="Times New Roman" w:cstheme="minorBidi"/>
          <w:sz w:val="28"/>
          <w:szCs w:val="28"/>
          <w:lang w:eastAsia="en-US"/>
        </w:rPr>
        <w:t xml:space="preserve"> xã 227 người, dôi dư do giảm số lượng </w:t>
      </w:r>
      <w:r w:rsidR="00682BB5">
        <w:rPr>
          <w:rFonts w:eastAsia="Times New Roman" w:cstheme="minorBidi"/>
          <w:sz w:val="28"/>
          <w:szCs w:val="28"/>
          <w:lang w:eastAsia="en-US"/>
        </w:rPr>
        <w:t xml:space="preserve">theo </w:t>
      </w:r>
      <w:r w:rsidR="00682BB5" w:rsidRPr="0062458E">
        <w:rPr>
          <w:rFonts w:eastAsia="Times New Roman" w:cstheme="minorBidi"/>
          <w:sz w:val="28"/>
          <w:szCs w:val="28"/>
          <w:lang w:val="vi-VN" w:eastAsia="en-US"/>
        </w:rPr>
        <w:t>Nghị định số 34/2019/NĐ-CP</w:t>
      </w:r>
      <w:r w:rsidR="00682BB5">
        <w:rPr>
          <w:rFonts w:eastAsia="Times New Roman" w:cstheme="minorBidi"/>
          <w:sz w:val="28"/>
          <w:szCs w:val="28"/>
          <w:lang w:eastAsia="en-US"/>
        </w:rPr>
        <w:t xml:space="preserve"> </w:t>
      </w:r>
      <w:r w:rsidR="00715FD1">
        <w:rPr>
          <w:rFonts w:eastAsia="Times New Roman" w:cstheme="minorBidi"/>
          <w:sz w:val="28"/>
          <w:szCs w:val="28"/>
          <w:lang w:eastAsia="en-US"/>
        </w:rPr>
        <w:t>3</w:t>
      </w:r>
      <w:r w:rsidR="008B3EFD">
        <w:rPr>
          <w:rFonts w:eastAsia="Times New Roman" w:cstheme="minorBidi"/>
          <w:sz w:val="28"/>
          <w:szCs w:val="28"/>
          <w:lang w:eastAsia="en-US"/>
        </w:rPr>
        <w:t>56</w:t>
      </w:r>
      <w:r w:rsidR="00715FD1">
        <w:rPr>
          <w:rFonts w:eastAsia="Times New Roman" w:cstheme="minorBidi"/>
          <w:sz w:val="28"/>
          <w:szCs w:val="28"/>
          <w:lang w:eastAsia="en-US"/>
        </w:rPr>
        <w:t xml:space="preserve"> người)</w:t>
      </w:r>
      <w:r>
        <w:rPr>
          <w:rFonts w:eastAsia="Times New Roman" w:cstheme="minorBidi"/>
          <w:sz w:val="28"/>
          <w:szCs w:val="28"/>
          <w:lang w:eastAsia="en-US"/>
        </w:rPr>
        <w:t xml:space="preserve">. Việc </w:t>
      </w:r>
      <w:r w:rsidR="00074246">
        <w:rPr>
          <w:rFonts w:eastAsia="Times New Roman" w:cstheme="minorBidi"/>
          <w:sz w:val="28"/>
          <w:szCs w:val="28"/>
          <w:lang w:eastAsia="en-US"/>
        </w:rPr>
        <w:t xml:space="preserve">ban hành chính sách </w:t>
      </w:r>
      <w:r>
        <w:rPr>
          <w:rFonts w:eastAsia="Times New Roman" w:cstheme="minorBidi"/>
          <w:sz w:val="28"/>
          <w:szCs w:val="28"/>
          <w:lang w:eastAsia="en-US"/>
        </w:rPr>
        <w:t xml:space="preserve">hỗ trợ </w:t>
      </w:r>
      <w:r w:rsidR="00074246">
        <w:rPr>
          <w:rFonts w:eastAsia="Times New Roman" w:cstheme="minorBidi"/>
          <w:sz w:val="28"/>
          <w:szCs w:val="28"/>
          <w:lang w:eastAsia="en-US"/>
        </w:rPr>
        <w:t xml:space="preserve">của địa phương đối với </w:t>
      </w:r>
      <w:r>
        <w:rPr>
          <w:rFonts w:eastAsia="Times New Roman" w:cstheme="minorBidi"/>
          <w:sz w:val="28"/>
          <w:szCs w:val="28"/>
          <w:lang w:eastAsia="en-US"/>
        </w:rPr>
        <w:t xml:space="preserve">người hoạt động không chuyên trách cấp xã  </w:t>
      </w:r>
      <w:r w:rsidR="00074246">
        <w:rPr>
          <w:rFonts w:eastAsia="Times New Roman" w:cstheme="minorBidi"/>
          <w:sz w:val="28"/>
          <w:szCs w:val="28"/>
          <w:lang w:eastAsia="en-US"/>
        </w:rPr>
        <w:t xml:space="preserve">thôi việc được quy định tại </w:t>
      </w:r>
      <w:r w:rsidR="009F6F25" w:rsidRPr="0062458E">
        <w:rPr>
          <w:rFonts w:eastAsia="Times New Roman" w:cstheme="minorBidi"/>
          <w:sz w:val="28"/>
          <w:szCs w:val="28"/>
          <w:lang w:val="vi-VN" w:eastAsia="en-US"/>
        </w:rPr>
        <w:t>Nghị quyết số 32/NQ-CP ngày 14/5/2019 của Chính phủ ban hành Kế hoạch sắp xếp đơn vị hành chính cấp huyện, cấp xã trong giai đoạn 2019-2021</w:t>
      </w:r>
      <w:r w:rsidR="00074246">
        <w:rPr>
          <w:rFonts w:eastAsia="Times New Roman" w:cstheme="minorBidi"/>
          <w:sz w:val="28"/>
          <w:szCs w:val="28"/>
          <w:lang w:eastAsia="en-US"/>
        </w:rPr>
        <w:t xml:space="preserve">; </w:t>
      </w:r>
      <w:r w:rsidR="00074246" w:rsidRPr="0062458E">
        <w:rPr>
          <w:rFonts w:eastAsia="Times New Roman" w:cstheme="minorBidi"/>
          <w:sz w:val="28"/>
          <w:szCs w:val="28"/>
          <w:lang w:val="vi-VN" w:eastAsia="en-US"/>
        </w:rPr>
        <w:t xml:space="preserve">Thông tư số 13/2019/TT-BNV ngày 06/11/2019 Hướng dẫn một số quy định về cán bộ, công chức cấp xã và người hoạt động không chuyên trách ở cấp xã, ở thôn, tổ dân phố </w:t>
      </w:r>
      <w:r w:rsidR="00074246">
        <w:rPr>
          <w:rFonts w:eastAsia="Times New Roman" w:cstheme="minorBidi"/>
          <w:sz w:val="28"/>
          <w:szCs w:val="28"/>
          <w:lang w:eastAsia="en-US"/>
        </w:rPr>
        <w:t xml:space="preserve">và </w:t>
      </w:r>
      <w:r w:rsidR="009F6F25" w:rsidRPr="0062458E">
        <w:rPr>
          <w:rFonts w:eastAsia="Times New Roman" w:cstheme="minorBidi"/>
          <w:sz w:val="28"/>
          <w:szCs w:val="28"/>
          <w:lang w:val="vi-VN" w:eastAsia="en-US"/>
        </w:rPr>
        <w:t>Nghị quyết số </w:t>
      </w:r>
      <w:hyperlink r:id="rId11" w:tgtFrame="_blank" w:tooltip="Nghị quyết 01/2019/NQ-HĐND" w:history="1">
        <w:r w:rsidR="009F6F25" w:rsidRPr="0062458E">
          <w:rPr>
            <w:rFonts w:eastAsia="Times New Roman" w:cstheme="minorBidi"/>
            <w:sz w:val="28"/>
            <w:szCs w:val="28"/>
            <w:lang w:val="vi-VN" w:eastAsia="en-US"/>
          </w:rPr>
          <w:t>22/2019/NQ-HĐND</w:t>
        </w:r>
      </w:hyperlink>
      <w:r w:rsidR="009F6F25" w:rsidRPr="0062458E">
        <w:rPr>
          <w:rFonts w:eastAsia="Times New Roman" w:cstheme="minorBidi"/>
          <w:sz w:val="28"/>
          <w:szCs w:val="28"/>
          <w:lang w:val="vi-VN" w:eastAsia="en-US"/>
        </w:rPr>
        <w:t xml:space="preserve"> n</w:t>
      </w:r>
      <w:r w:rsidR="001B3C3F" w:rsidRPr="0062458E">
        <w:rPr>
          <w:rFonts w:eastAsia="Times New Roman" w:cstheme="minorBidi"/>
          <w:sz w:val="28"/>
          <w:szCs w:val="28"/>
          <w:lang w:val="vi-VN" w:eastAsia="en-US"/>
        </w:rPr>
        <w:t xml:space="preserve">gày 17/10/2019 </w:t>
      </w:r>
      <w:r w:rsidR="009F6F25" w:rsidRPr="0062458E">
        <w:rPr>
          <w:rFonts w:eastAsia="Times New Roman" w:cstheme="minorBidi"/>
          <w:sz w:val="28"/>
          <w:szCs w:val="28"/>
          <w:lang w:val="vi-VN" w:eastAsia="en-US"/>
        </w:rPr>
        <w:t xml:space="preserve">của </w:t>
      </w:r>
      <w:r w:rsidR="001B3C3F" w:rsidRPr="0062458E">
        <w:rPr>
          <w:rFonts w:eastAsia="Times New Roman" w:cstheme="minorBidi"/>
          <w:sz w:val="28"/>
          <w:szCs w:val="28"/>
          <w:lang w:val="vi-VN" w:eastAsia="en-US"/>
        </w:rPr>
        <w:t>Hội đồng nhân dân tỉnh về việc thông qua Đề án sắp xếp đơn vị hành chính cấp huyện, cấp xã giai đoạn 2019-2021 trên địa bàn tỉnh Quảng Trị</w:t>
      </w:r>
      <w:r w:rsidR="004E77D4">
        <w:rPr>
          <w:rFonts w:eastAsia="Times New Roman" w:cstheme="minorBidi"/>
          <w:sz w:val="28"/>
          <w:szCs w:val="28"/>
          <w:lang w:eastAsia="en-US"/>
        </w:rPr>
        <w:t>.</w:t>
      </w:r>
    </w:p>
    <w:p w:rsidR="004E77D4" w:rsidRPr="004D6778" w:rsidRDefault="004E77D4" w:rsidP="004D6778">
      <w:pPr>
        <w:shd w:val="clear" w:color="auto" w:fill="FFFFFF"/>
        <w:spacing w:line="380" w:lineRule="exact"/>
        <w:ind w:firstLine="567"/>
        <w:jc w:val="both"/>
        <w:textAlignment w:val="baseline"/>
        <w:rPr>
          <w:rFonts w:eastAsia="Times New Roman"/>
          <w:color w:val="000000"/>
          <w:sz w:val="28"/>
          <w:szCs w:val="28"/>
        </w:rPr>
      </w:pPr>
      <w:r>
        <w:rPr>
          <w:rFonts w:eastAsia="Times New Roman" w:cstheme="minorBidi"/>
          <w:sz w:val="28"/>
          <w:szCs w:val="28"/>
          <w:lang w:eastAsia="en-US"/>
        </w:rPr>
        <w:t xml:space="preserve">Để giải quyết số lượng người hoạt động không chuyên trách cấp xã dôi dư khi thực hiện sắp xếp đơn vị hành chính cấp xã và </w:t>
      </w:r>
      <w:r w:rsidRPr="004E77D4">
        <w:rPr>
          <w:rFonts w:eastAsia="Times New Roman" w:cstheme="minorBidi"/>
          <w:sz w:val="28"/>
          <w:szCs w:val="28"/>
          <w:lang w:eastAsia="en-US"/>
        </w:rPr>
        <w:t xml:space="preserve">giảm số lượng </w:t>
      </w:r>
      <w:r w:rsidRPr="004E77D4">
        <w:rPr>
          <w:rFonts w:eastAsia="Times New Roman"/>
          <w:color w:val="000000"/>
          <w:sz w:val="28"/>
          <w:szCs w:val="28"/>
        </w:rPr>
        <w:t>theo quy định của Nghị định</w:t>
      </w:r>
      <w:r w:rsidRPr="004E77D4">
        <w:rPr>
          <w:color w:val="000000"/>
          <w:sz w:val="28"/>
          <w:szCs w:val="28"/>
          <w:lang w:val="nl-NL"/>
        </w:rPr>
        <w:t xml:space="preserve"> số 34/2019/NĐ-CP</w:t>
      </w:r>
      <w:r w:rsidR="00E14A16">
        <w:rPr>
          <w:color w:val="000000"/>
          <w:sz w:val="28"/>
          <w:szCs w:val="28"/>
          <w:lang w:val="nl-NL"/>
        </w:rPr>
        <w:t xml:space="preserve"> việc ban hành chính sách hỗ trợ đối với</w:t>
      </w:r>
      <w:r w:rsidR="00E14A16" w:rsidRPr="00E14A16">
        <w:rPr>
          <w:rFonts w:eastAsia="Times New Roman" w:cstheme="minorBidi"/>
          <w:sz w:val="28"/>
          <w:szCs w:val="28"/>
          <w:lang w:eastAsia="en-US"/>
        </w:rPr>
        <w:t xml:space="preserve"> </w:t>
      </w:r>
      <w:r w:rsidR="00E14A16">
        <w:rPr>
          <w:rFonts w:eastAsia="Times New Roman" w:cstheme="minorBidi"/>
          <w:sz w:val="28"/>
          <w:szCs w:val="28"/>
          <w:lang w:eastAsia="en-US"/>
        </w:rPr>
        <w:t>người hoạt động không chuyên trách cấp xã thôi việc do dôi dư là cần thiết, nhằm</w:t>
      </w:r>
      <w:r w:rsidR="00E14A16" w:rsidRPr="00E14A16">
        <w:rPr>
          <w:rFonts w:eastAsia="Times New Roman" w:cstheme="minorBidi"/>
          <w:sz w:val="28"/>
          <w:szCs w:val="28"/>
          <w:lang w:val="vi-VN" w:eastAsia="en-US"/>
        </w:rPr>
        <w:t xml:space="preserve"> </w:t>
      </w:r>
      <w:r w:rsidR="00E14A16" w:rsidRPr="0062458E">
        <w:rPr>
          <w:rFonts w:eastAsia="Times New Roman" w:cstheme="minorBidi"/>
          <w:sz w:val="28"/>
          <w:szCs w:val="28"/>
          <w:lang w:val="vi-VN" w:eastAsia="en-US"/>
        </w:rPr>
        <w:t>động viên</w:t>
      </w:r>
      <w:r w:rsidR="0090397D">
        <w:rPr>
          <w:rFonts w:eastAsia="Times New Roman" w:cstheme="minorBidi"/>
          <w:sz w:val="28"/>
          <w:szCs w:val="28"/>
          <w:lang w:eastAsia="en-US"/>
        </w:rPr>
        <w:t xml:space="preserve"> quá trình đ</w:t>
      </w:r>
      <w:r w:rsidR="005D4698">
        <w:rPr>
          <w:rFonts w:eastAsia="Times New Roman" w:cstheme="minorBidi"/>
          <w:sz w:val="28"/>
          <w:szCs w:val="28"/>
          <w:lang w:eastAsia="en-US"/>
        </w:rPr>
        <w:t>ó</w:t>
      </w:r>
      <w:r w:rsidR="0090397D">
        <w:rPr>
          <w:rFonts w:eastAsia="Times New Roman" w:cstheme="minorBidi"/>
          <w:sz w:val="28"/>
          <w:szCs w:val="28"/>
          <w:lang w:eastAsia="en-US"/>
        </w:rPr>
        <w:t>ng góp</w:t>
      </w:r>
      <w:r w:rsidR="00E14A16">
        <w:rPr>
          <w:rFonts w:eastAsia="Times New Roman" w:cstheme="minorBidi"/>
          <w:sz w:val="28"/>
          <w:szCs w:val="28"/>
          <w:lang w:eastAsia="en-US"/>
        </w:rPr>
        <w:t xml:space="preserve"> </w:t>
      </w:r>
      <w:r w:rsidR="007022DE">
        <w:rPr>
          <w:rFonts w:eastAsia="Times New Roman" w:cstheme="minorBidi"/>
          <w:sz w:val="28"/>
          <w:szCs w:val="28"/>
          <w:lang w:eastAsia="en-US"/>
        </w:rPr>
        <w:t xml:space="preserve">và khuyến khích </w:t>
      </w:r>
      <w:r w:rsidR="00E14A16">
        <w:rPr>
          <w:rFonts w:eastAsia="Times New Roman" w:cstheme="minorBidi"/>
          <w:sz w:val="28"/>
          <w:szCs w:val="28"/>
          <w:lang w:eastAsia="en-US"/>
        </w:rPr>
        <w:t>đối với</w:t>
      </w:r>
      <w:r w:rsidR="00E14A16" w:rsidRPr="0062458E">
        <w:rPr>
          <w:rFonts w:eastAsia="Times New Roman" w:cstheme="minorBidi"/>
          <w:sz w:val="28"/>
          <w:szCs w:val="28"/>
          <w:lang w:val="vi-VN" w:eastAsia="en-US"/>
        </w:rPr>
        <w:t xml:space="preserve"> người hoạt động không chuyên trách cấp xã dôi dư thôi việc, </w:t>
      </w:r>
      <w:r w:rsidR="001D6D5B">
        <w:rPr>
          <w:rFonts w:eastAsia="Times New Roman" w:cstheme="minorBidi"/>
          <w:sz w:val="28"/>
          <w:szCs w:val="28"/>
          <w:lang w:eastAsia="en-US"/>
        </w:rPr>
        <w:t>để</w:t>
      </w:r>
      <w:r w:rsidR="00E14A16">
        <w:rPr>
          <w:rFonts w:eastAsia="Times New Roman" w:cstheme="minorBidi"/>
          <w:sz w:val="28"/>
          <w:szCs w:val="28"/>
          <w:lang w:eastAsia="en-US"/>
        </w:rPr>
        <w:t xml:space="preserve"> </w:t>
      </w:r>
      <w:r w:rsidR="00E14A16" w:rsidRPr="0062458E">
        <w:rPr>
          <w:rFonts w:eastAsia="Times New Roman" w:cstheme="minorBidi"/>
          <w:sz w:val="28"/>
          <w:szCs w:val="28"/>
          <w:lang w:val="vi-VN" w:eastAsia="en-US"/>
        </w:rPr>
        <w:t>tinh gọn bộ máy cấp xã</w:t>
      </w:r>
      <w:r w:rsidR="00E14A16">
        <w:rPr>
          <w:rFonts w:eastAsia="Times New Roman" w:cstheme="minorBidi"/>
          <w:sz w:val="28"/>
          <w:szCs w:val="28"/>
          <w:lang w:eastAsia="en-US"/>
        </w:rPr>
        <w:t>.</w:t>
      </w:r>
    </w:p>
    <w:p w:rsidR="00D06914" w:rsidRPr="008D1EC2" w:rsidRDefault="00D06914" w:rsidP="0062458E">
      <w:pPr>
        <w:spacing w:before="120" w:after="120" w:line="380" w:lineRule="exact"/>
        <w:ind w:firstLine="567"/>
        <w:jc w:val="both"/>
        <w:rPr>
          <w:rFonts w:eastAsia="Times New Roman" w:cstheme="minorBidi"/>
          <w:b/>
          <w:sz w:val="28"/>
          <w:szCs w:val="28"/>
          <w:lang w:val="vi-VN" w:eastAsia="en-US"/>
        </w:rPr>
      </w:pPr>
      <w:r w:rsidRPr="008D1EC2">
        <w:rPr>
          <w:rFonts w:eastAsia="Times New Roman" w:cstheme="minorBidi"/>
          <w:b/>
          <w:sz w:val="28"/>
          <w:szCs w:val="28"/>
          <w:lang w:val="vi-VN" w:eastAsia="en-US"/>
        </w:rPr>
        <w:lastRenderedPageBreak/>
        <w:t xml:space="preserve">II. MỤC ĐÍCH, </w:t>
      </w:r>
      <w:r w:rsidR="00F5271D" w:rsidRPr="008D1EC2">
        <w:rPr>
          <w:rFonts w:eastAsia="Times New Roman" w:cstheme="minorBidi"/>
          <w:b/>
          <w:sz w:val="28"/>
          <w:szCs w:val="28"/>
          <w:lang w:val="vi-VN" w:eastAsia="en-US"/>
        </w:rPr>
        <w:t>YÊU CẦU</w:t>
      </w:r>
    </w:p>
    <w:p w:rsidR="009F6F25" w:rsidRPr="0062458E" w:rsidRDefault="0090397D" w:rsidP="0062458E">
      <w:pPr>
        <w:spacing w:before="120" w:after="120" w:line="380" w:lineRule="exact"/>
        <w:ind w:firstLine="567"/>
        <w:jc w:val="both"/>
        <w:rPr>
          <w:rFonts w:eastAsia="Times New Roman" w:cstheme="minorBidi"/>
          <w:sz w:val="28"/>
          <w:szCs w:val="28"/>
          <w:lang w:val="vi-VN" w:eastAsia="en-US"/>
        </w:rPr>
      </w:pPr>
      <w:r>
        <w:rPr>
          <w:rFonts w:eastAsia="Times New Roman" w:cstheme="minorBidi"/>
          <w:sz w:val="28"/>
          <w:szCs w:val="28"/>
          <w:lang w:eastAsia="en-US"/>
        </w:rPr>
        <w:t>Đ</w:t>
      </w:r>
      <w:r w:rsidR="009F6F25" w:rsidRPr="0062458E">
        <w:rPr>
          <w:rFonts w:eastAsia="Times New Roman" w:cstheme="minorBidi"/>
          <w:sz w:val="28"/>
          <w:szCs w:val="28"/>
          <w:lang w:val="vi-VN" w:eastAsia="en-US"/>
        </w:rPr>
        <w:t>ộng viên</w:t>
      </w:r>
      <w:r>
        <w:rPr>
          <w:rFonts w:eastAsia="Times New Roman" w:cstheme="minorBidi"/>
          <w:sz w:val="28"/>
          <w:szCs w:val="28"/>
          <w:lang w:eastAsia="en-US"/>
        </w:rPr>
        <w:t xml:space="preserve"> quá trình đóng góp </w:t>
      </w:r>
      <w:r w:rsidR="006535EB">
        <w:rPr>
          <w:rFonts w:eastAsia="Times New Roman" w:cstheme="minorBidi"/>
          <w:sz w:val="28"/>
          <w:szCs w:val="28"/>
          <w:lang w:eastAsia="en-US"/>
        </w:rPr>
        <w:t xml:space="preserve">và khuyến khích </w:t>
      </w:r>
      <w:r>
        <w:rPr>
          <w:rFonts w:eastAsia="Times New Roman" w:cstheme="minorBidi"/>
          <w:sz w:val="28"/>
          <w:szCs w:val="28"/>
          <w:lang w:eastAsia="en-US"/>
        </w:rPr>
        <w:t>những</w:t>
      </w:r>
      <w:r w:rsidR="009F6F25" w:rsidRPr="0062458E">
        <w:rPr>
          <w:rFonts w:eastAsia="Times New Roman" w:cstheme="minorBidi"/>
          <w:sz w:val="28"/>
          <w:szCs w:val="28"/>
          <w:lang w:val="vi-VN" w:eastAsia="en-US"/>
        </w:rPr>
        <w:t xml:space="preserve"> người hoạt động không chuyên trách cấp xã thôi việc</w:t>
      </w:r>
      <w:r>
        <w:rPr>
          <w:rFonts w:eastAsia="Times New Roman" w:cstheme="minorBidi"/>
          <w:sz w:val="28"/>
          <w:szCs w:val="28"/>
          <w:lang w:eastAsia="en-US"/>
        </w:rPr>
        <w:t>, để tinh gọn bộ máy</w:t>
      </w:r>
      <w:r w:rsidR="009F6F25" w:rsidRPr="0062458E">
        <w:rPr>
          <w:rFonts w:eastAsia="Times New Roman" w:cstheme="minorBidi"/>
          <w:sz w:val="28"/>
          <w:szCs w:val="28"/>
          <w:lang w:val="vi-VN" w:eastAsia="en-US"/>
        </w:rPr>
        <w:t xml:space="preserve">. </w:t>
      </w:r>
    </w:p>
    <w:p w:rsidR="00CE218A" w:rsidRPr="0062458E" w:rsidRDefault="00F5271D"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Chính sách hỗ trợ</w:t>
      </w:r>
      <w:r w:rsidR="00CE218A" w:rsidRPr="0062458E">
        <w:rPr>
          <w:rFonts w:eastAsia="Times New Roman" w:cstheme="minorBidi"/>
          <w:sz w:val="28"/>
          <w:szCs w:val="28"/>
          <w:lang w:val="vi-VN" w:eastAsia="en-US"/>
        </w:rPr>
        <w:t xml:space="preserve">  </w:t>
      </w:r>
      <w:r w:rsidRPr="0062458E">
        <w:rPr>
          <w:rFonts w:eastAsia="Times New Roman" w:cstheme="minorBidi"/>
          <w:sz w:val="28"/>
          <w:szCs w:val="28"/>
          <w:lang w:val="vi-VN" w:eastAsia="en-US"/>
        </w:rPr>
        <w:t>đối với</w:t>
      </w:r>
      <w:r w:rsidR="00CE218A" w:rsidRPr="0062458E">
        <w:rPr>
          <w:rFonts w:eastAsia="Times New Roman" w:cstheme="minorBidi"/>
          <w:sz w:val="28"/>
          <w:szCs w:val="28"/>
          <w:lang w:val="vi-VN" w:eastAsia="en-US"/>
        </w:rPr>
        <w:t xml:space="preserve"> người hoạt động không chuyên trách </w:t>
      </w:r>
      <w:r w:rsidRPr="0062458E">
        <w:rPr>
          <w:rFonts w:eastAsia="Times New Roman" w:cstheme="minorBidi"/>
          <w:sz w:val="28"/>
          <w:szCs w:val="28"/>
          <w:lang w:val="vi-VN" w:eastAsia="en-US"/>
        </w:rPr>
        <w:t>cấp xã</w:t>
      </w:r>
      <w:r w:rsidR="00CE218A" w:rsidRPr="0062458E">
        <w:rPr>
          <w:rFonts w:eastAsia="Times New Roman" w:cstheme="minorBidi"/>
          <w:sz w:val="28"/>
          <w:szCs w:val="28"/>
          <w:lang w:val="vi-VN" w:eastAsia="en-US"/>
        </w:rPr>
        <w:t xml:space="preserve"> </w:t>
      </w:r>
      <w:r w:rsidR="00AD6291" w:rsidRPr="0062458E">
        <w:rPr>
          <w:rFonts w:eastAsia="Times New Roman" w:cstheme="minorBidi"/>
          <w:sz w:val="28"/>
          <w:szCs w:val="28"/>
          <w:lang w:val="vi-VN" w:eastAsia="en-US"/>
        </w:rPr>
        <w:t>thôi việc</w:t>
      </w:r>
      <w:r w:rsidR="00CE218A" w:rsidRPr="0062458E">
        <w:rPr>
          <w:rFonts w:eastAsia="Times New Roman" w:cstheme="minorBidi"/>
          <w:sz w:val="28"/>
          <w:szCs w:val="28"/>
          <w:lang w:val="vi-VN" w:eastAsia="en-US"/>
        </w:rPr>
        <w:t xml:space="preserve"> do dôi dư </w:t>
      </w:r>
      <w:r w:rsidRPr="0062458E">
        <w:rPr>
          <w:rFonts w:eastAsia="Times New Roman" w:cstheme="minorBidi"/>
          <w:sz w:val="28"/>
          <w:szCs w:val="28"/>
          <w:lang w:val="vi-VN" w:eastAsia="en-US"/>
        </w:rPr>
        <w:t>phải phù hợp với quy định pháp luật hiện hành</w:t>
      </w:r>
      <w:r w:rsidR="00D92BB3">
        <w:rPr>
          <w:rFonts w:eastAsia="Times New Roman" w:cstheme="minorBidi"/>
          <w:sz w:val="28"/>
          <w:szCs w:val="28"/>
          <w:lang w:eastAsia="en-US"/>
        </w:rPr>
        <w:t xml:space="preserve"> và điều kiện ngân sách của địa phương</w:t>
      </w:r>
      <w:r w:rsidRPr="0062458E">
        <w:rPr>
          <w:rFonts w:eastAsia="Times New Roman" w:cstheme="minorBidi"/>
          <w:sz w:val="28"/>
          <w:szCs w:val="28"/>
          <w:lang w:val="vi-VN" w:eastAsia="en-US"/>
        </w:rPr>
        <w:t>.</w:t>
      </w:r>
    </w:p>
    <w:p w:rsidR="00D06914" w:rsidRPr="008D1EC2" w:rsidRDefault="00D06914" w:rsidP="0062458E">
      <w:pPr>
        <w:spacing w:before="120" w:after="120" w:line="380" w:lineRule="exact"/>
        <w:ind w:firstLine="567"/>
        <w:jc w:val="both"/>
        <w:rPr>
          <w:rFonts w:eastAsia="Times New Roman" w:cstheme="minorBidi"/>
          <w:b/>
          <w:sz w:val="28"/>
          <w:szCs w:val="28"/>
          <w:lang w:val="vi-VN" w:eastAsia="en-US"/>
        </w:rPr>
      </w:pPr>
      <w:r w:rsidRPr="008D1EC2">
        <w:rPr>
          <w:rFonts w:eastAsia="Times New Roman" w:cstheme="minorBidi"/>
          <w:b/>
          <w:sz w:val="28"/>
          <w:szCs w:val="28"/>
          <w:lang w:val="vi-VN" w:eastAsia="en-US"/>
        </w:rPr>
        <w:t>I</w:t>
      </w:r>
      <w:r w:rsidR="00F5271D" w:rsidRPr="008D1EC2">
        <w:rPr>
          <w:rFonts w:eastAsia="Times New Roman" w:cstheme="minorBidi"/>
          <w:b/>
          <w:sz w:val="28"/>
          <w:szCs w:val="28"/>
          <w:lang w:val="vi-VN" w:eastAsia="en-US"/>
        </w:rPr>
        <w:t>II</w:t>
      </w:r>
      <w:r w:rsidRPr="008D1EC2">
        <w:rPr>
          <w:rFonts w:eastAsia="Times New Roman" w:cstheme="minorBidi"/>
          <w:b/>
          <w:sz w:val="28"/>
          <w:szCs w:val="28"/>
          <w:lang w:val="vi-VN" w:eastAsia="en-US"/>
        </w:rPr>
        <w:t xml:space="preserve">. </w:t>
      </w:r>
      <w:r w:rsidR="004536D1" w:rsidRPr="008D1EC2">
        <w:rPr>
          <w:rFonts w:eastAsia="Times New Roman" w:cstheme="minorBidi"/>
          <w:b/>
          <w:sz w:val="28"/>
          <w:szCs w:val="28"/>
          <w:lang w:val="vi-VN" w:eastAsia="en-US"/>
        </w:rPr>
        <w:t xml:space="preserve">CHÍNH SÁCH HỖ TRỢ, ĐIỀU KIỆN ÁP DỤNG, THỜI GIAN TÍNH HƯỞNG CHÍNH SÁCH HỖ TRỢ, THẨM QUYỀN </w:t>
      </w:r>
      <w:r w:rsidR="00AC524D" w:rsidRPr="008D1EC2">
        <w:rPr>
          <w:rFonts w:eastAsia="Times New Roman" w:cstheme="minorBidi"/>
          <w:b/>
          <w:sz w:val="28"/>
          <w:szCs w:val="28"/>
          <w:lang w:val="vi-VN" w:eastAsia="en-US"/>
        </w:rPr>
        <w:t>QUYẾT</w:t>
      </w:r>
      <w:r w:rsidR="004536D1" w:rsidRPr="008D1EC2">
        <w:rPr>
          <w:rFonts w:eastAsia="Times New Roman" w:cstheme="minorBidi"/>
          <w:b/>
          <w:sz w:val="28"/>
          <w:szCs w:val="28"/>
          <w:lang w:val="vi-VN" w:eastAsia="en-US"/>
        </w:rPr>
        <w:t xml:space="preserve"> ĐỊN</w:t>
      </w:r>
      <w:r w:rsidR="00AC524D" w:rsidRPr="008D1EC2">
        <w:rPr>
          <w:rFonts w:eastAsia="Times New Roman" w:cstheme="minorBidi"/>
          <w:b/>
          <w:sz w:val="28"/>
          <w:szCs w:val="28"/>
          <w:lang w:val="vi-VN" w:eastAsia="en-US"/>
        </w:rPr>
        <w:t>H</w:t>
      </w:r>
      <w:r w:rsidR="004536D1" w:rsidRPr="008D1EC2">
        <w:rPr>
          <w:rFonts w:eastAsia="Times New Roman" w:cstheme="minorBidi"/>
          <w:b/>
          <w:sz w:val="28"/>
          <w:szCs w:val="28"/>
          <w:lang w:val="vi-VN" w:eastAsia="en-US"/>
        </w:rPr>
        <w:t xml:space="preserve"> HỖ TRỢ</w:t>
      </w:r>
    </w:p>
    <w:p w:rsidR="000203DF" w:rsidRPr="000203DF" w:rsidRDefault="000203DF" w:rsidP="000203DF">
      <w:pPr>
        <w:spacing w:before="120" w:after="120" w:line="380" w:lineRule="exact"/>
        <w:ind w:firstLine="567"/>
        <w:jc w:val="both"/>
        <w:rPr>
          <w:rFonts w:eastAsia="Times New Roman"/>
          <w:b/>
          <w:bCs/>
          <w:sz w:val="28"/>
          <w:szCs w:val="28"/>
        </w:rPr>
      </w:pPr>
      <w:r w:rsidRPr="000203DF">
        <w:rPr>
          <w:rFonts w:eastAsia="Times New Roman"/>
          <w:b/>
          <w:bCs/>
          <w:sz w:val="28"/>
          <w:szCs w:val="28"/>
        </w:rPr>
        <w:t xml:space="preserve">1. Chính sách hỗ trợ: </w:t>
      </w:r>
    </w:p>
    <w:p w:rsidR="000203DF" w:rsidRPr="000203DF" w:rsidRDefault="000203DF" w:rsidP="000203DF">
      <w:pPr>
        <w:spacing w:before="120" w:after="120" w:line="380" w:lineRule="exact"/>
        <w:ind w:firstLine="567"/>
        <w:jc w:val="both"/>
        <w:rPr>
          <w:rFonts w:eastAsia="Times New Roman"/>
          <w:sz w:val="28"/>
          <w:szCs w:val="28"/>
        </w:rPr>
      </w:pPr>
      <w:r w:rsidRPr="000203DF">
        <w:rPr>
          <w:rFonts w:eastAsia="Times New Roman"/>
          <w:sz w:val="28"/>
          <w:szCs w:val="28"/>
        </w:rPr>
        <w:t>Người hoạt động không chuyên trách ở cấp xã thôi việc do dôi dư khi</w:t>
      </w:r>
      <w:r w:rsidRPr="000203DF">
        <w:rPr>
          <w:rFonts w:eastAsia="Times New Roman"/>
          <w:bCs/>
          <w:sz w:val="28"/>
          <w:szCs w:val="28"/>
        </w:rPr>
        <w:t xml:space="preserve"> thực hiện sắp xếp đơn vị hành chính cấp xã</w:t>
      </w:r>
      <w:r w:rsidRPr="000203DF">
        <w:rPr>
          <w:sz w:val="28"/>
          <w:szCs w:val="28"/>
          <w:lang w:val="nl-NL"/>
        </w:rPr>
        <w:t>,</w:t>
      </w:r>
      <w:r w:rsidRPr="000203DF">
        <w:rPr>
          <w:rFonts w:eastAsia="Times New Roman"/>
          <w:b/>
          <w:sz w:val="28"/>
          <w:szCs w:val="28"/>
        </w:rPr>
        <w:t xml:space="preserve"> </w:t>
      </w:r>
      <w:r w:rsidRPr="000203DF">
        <w:rPr>
          <w:rFonts w:eastAsia="Times New Roman"/>
          <w:sz w:val="28"/>
          <w:szCs w:val="28"/>
        </w:rPr>
        <w:t>giảm số lượng người hoạt động không chuyê trách theo quy định của Nghị định</w:t>
      </w:r>
      <w:r w:rsidRPr="000203DF">
        <w:rPr>
          <w:sz w:val="28"/>
          <w:szCs w:val="28"/>
          <w:lang w:val="nl-NL"/>
        </w:rPr>
        <w:t xml:space="preserve"> số 34/2019/NĐ-CP</w:t>
      </w:r>
      <w:r w:rsidRPr="000203DF">
        <w:rPr>
          <w:rFonts w:eastAsia="Times New Roman"/>
          <w:bCs/>
          <w:sz w:val="28"/>
          <w:szCs w:val="28"/>
        </w:rPr>
        <w:t xml:space="preserve"> </w:t>
      </w:r>
      <w:r w:rsidRPr="000203DF">
        <w:rPr>
          <w:sz w:val="28"/>
          <w:szCs w:val="28"/>
          <w:lang w:val="nl-NL"/>
        </w:rPr>
        <w:t>ngày 24 tháng 4 năm 2019 của Chính phủ và</w:t>
      </w:r>
      <w:r w:rsidRPr="000203DF">
        <w:rPr>
          <w:rFonts w:eastAsia="Times New Roman"/>
          <w:sz w:val="28"/>
          <w:szCs w:val="28"/>
        </w:rPr>
        <w:t xml:space="preserve"> Nghị quyết của Hội đồng nhân dân tỉnh ngoài các chế độ, chính sách theo quy định pháp luật về bảo hiểm xã hội, được hưởng chính sách hỗ trợ một lần như sau:</w:t>
      </w:r>
    </w:p>
    <w:p w:rsidR="000203DF" w:rsidRPr="000203DF" w:rsidRDefault="000203DF" w:rsidP="000203DF">
      <w:pPr>
        <w:spacing w:before="120" w:after="120" w:line="380" w:lineRule="exact"/>
        <w:ind w:firstLine="567"/>
        <w:jc w:val="both"/>
        <w:rPr>
          <w:rFonts w:eastAsia="Times New Roman"/>
          <w:sz w:val="28"/>
          <w:szCs w:val="28"/>
        </w:rPr>
      </w:pPr>
      <w:r w:rsidRPr="000203DF">
        <w:rPr>
          <w:rFonts w:eastAsia="Times New Roman"/>
          <w:bCs/>
          <w:sz w:val="28"/>
          <w:szCs w:val="28"/>
        </w:rPr>
        <w:t>Mỗi năm tham gia công tác giữ chức danh người hoạt động không chuyên trách được trợ cấp 01 tháng phụ cấp hiện hưởng. Mức hỗ trợ tối thiểu</w:t>
      </w:r>
      <w:r w:rsidRPr="000203DF">
        <w:rPr>
          <w:rFonts w:eastAsia="Times New Roman"/>
          <w:sz w:val="28"/>
          <w:szCs w:val="28"/>
        </w:rPr>
        <w:t xml:space="preserve"> bằng 03 tháng phụ cấp hiện hưởng.</w:t>
      </w:r>
    </w:p>
    <w:p w:rsidR="000203DF" w:rsidRPr="000203DF" w:rsidRDefault="000203DF" w:rsidP="000203DF">
      <w:pPr>
        <w:spacing w:before="120" w:after="120" w:line="380" w:lineRule="exact"/>
        <w:ind w:firstLine="567"/>
        <w:jc w:val="both"/>
        <w:rPr>
          <w:rFonts w:eastAsia="Times New Roman"/>
          <w:sz w:val="28"/>
          <w:szCs w:val="28"/>
        </w:rPr>
      </w:pPr>
      <w:r w:rsidRPr="000203DF">
        <w:rPr>
          <w:rFonts w:eastAsia="Times New Roman"/>
          <w:sz w:val="28"/>
          <w:szCs w:val="28"/>
        </w:rPr>
        <w:t xml:space="preserve">Mức phụ cấp để tính hưởng chế độ trợ cấp </w:t>
      </w:r>
      <w:r w:rsidRPr="000203DF">
        <w:rPr>
          <w:sz w:val="28"/>
          <w:szCs w:val="28"/>
        </w:rPr>
        <w:t>không bao gồm phụ cấp kiêm nhiệm chức danh.</w:t>
      </w:r>
    </w:p>
    <w:p w:rsidR="000203DF" w:rsidRPr="000203DF" w:rsidRDefault="000203DF" w:rsidP="000203DF">
      <w:pPr>
        <w:pStyle w:val="ListParagraph"/>
        <w:numPr>
          <w:ilvl w:val="0"/>
          <w:numId w:val="5"/>
        </w:numPr>
        <w:spacing w:before="120" w:after="120" w:line="380" w:lineRule="exact"/>
        <w:jc w:val="both"/>
        <w:rPr>
          <w:rFonts w:eastAsia="Times New Roman"/>
          <w:b/>
          <w:sz w:val="28"/>
          <w:szCs w:val="28"/>
        </w:rPr>
      </w:pPr>
      <w:r w:rsidRPr="000203DF">
        <w:rPr>
          <w:rFonts w:eastAsia="Times New Roman"/>
          <w:b/>
          <w:bCs/>
          <w:sz w:val="28"/>
          <w:szCs w:val="28"/>
        </w:rPr>
        <w:t>Điều kiện áp dụng:</w:t>
      </w:r>
    </w:p>
    <w:p w:rsidR="000203DF" w:rsidRPr="000203DF" w:rsidRDefault="000203DF" w:rsidP="000203DF">
      <w:pPr>
        <w:spacing w:before="120" w:after="120" w:line="380" w:lineRule="exact"/>
        <w:ind w:firstLine="567"/>
        <w:jc w:val="both"/>
        <w:rPr>
          <w:rFonts w:eastAsia="Times New Roman"/>
          <w:sz w:val="28"/>
          <w:szCs w:val="28"/>
        </w:rPr>
      </w:pPr>
      <w:r w:rsidRPr="000203DF">
        <w:rPr>
          <w:rFonts w:eastAsia="Times New Roman"/>
          <w:sz w:val="28"/>
          <w:szCs w:val="28"/>
        </w:rPr>
        <w:t>Chính sách này áp dụng đối với người hoạt động không chuyên trách ở các xã, thị trấn thực hiện sắp xếp đơn vị hành chính theo Nghị quyết số 653/2019/UBTVQH14  ngày 12/3/2019 của Ủy ban thường vụ Quốc Hội về sắp xếp các đơn vị hành chính cấp huyện, cấp xã trong giai đoạn 2019-2021 và giảm số lượng người hoạt động không chuyên trách theo quy định Nghị định</w:t>
      </w:r>
      <w:r w:rsidRPr="000203DF">
        <w:rPr>
          <w:sz w:val="28"/>
          <w:szCs w:val="28"/>
          <w:lang w:val="nl-NL"/>
        </w:rPr>
        <w:t xml:space="preserve"> số 34/2019/NĐ-CP</w:t>
      </w:r>
      <w:r w:rsidRPr="000203DF">
        <w:rPr>
          <w:rFonts w:eastAsia="Times New Roman"/>
          <w:bCs/>
          <w:sz w:val="28"/>
          <w:szCs w:val="28"/>
        </w:rPr>
        <w:t xml:space="preserve"> </w:t>
      </w:r>
      <w:r w:rsidRPr="000203DF">
        <w:rPr>
          <w:sz w:val="28"/>
          <w:szCs w:val="28"/>
          <w:lang w:val="nl-NL"/>
        </w:rPr>
        <w:t>ngày 24 tháng 4 năm 2019 của Chính phủ và Nghị quyết của HĐND tỉnh</w:t>
      </w:r>
      <w:r w:rsidRPr="000203DF">
        <w:rPr>
          <w:rFonts w:eastAsia="Times New Roman"/>
          <w:sz w:val="28"/>
          <w:szCs w:val="28"/>
        </w:rPr>
        <w:t>. Đối với Phó Trưởng công an xã nếu đủ điều kiện để hưởng chính sách trợ cấp một lần theo Nghị định số 73/2009/NĐ-CP ngày 07/9/2009 của Chính phủ quy định chi tiết thi hành một số điều của Pháp lệnh Công an xã thì không hưởng chính sách hỗ trợ theo Nghị quyết này.</w:t>
      </w:r>
    </w:p>
    <w:p w:rsidR="000203DF" w:rsidRPr="000203DF" w:rsidRDefault="000203DF" w:rsidP="000203DF">
      <w:pPr>
        <w:spacing w:before="120" w:after="120" w:line="380" w:lineRule="exact"/>
        <w:ind w:firstLine="567"/>
        <w:jc w:val="both"/>
        <w:rPr>
          <w:rFonts w:eastAsia="Times New Roman"/>
          <w:b/>
          <w:sz w:val="28"/>
          <w:szCs w:val="28"/>
        </w:rPr>
      </w:pPr>
      <w:r w:rsidRPr="000203DF">
        <w:rPr>
          <w:rFonts w:eastAsia="Times New Roman"/>
          <w:b/>
          <w:bCs/>
          <w:sz w:val="28"/>
          <w:szCs w:val="28"/>
        </w:rPr>
        <w:t>3. Thời gian tính hưởng chính sách hỗ trợ thôi việc:</w:t>
      </w:r>
    </w:p>
    <w:p w:rsidR="000203DF" w:rsidRPr="000203DF" w:rsidRDefault="000203DF" w:rsidP="000203DF">
      <w:pPr>
        <w:spacing w:before="120" w:after="120" w:line="380" w:lineRule="exact"/>
        <w:ind w:firstLine="567"/>
        <w:jc w:val="both"/>
        <w:rPr>
          <w:rFonts w:eastAsia="Times New Roman"/>
          <w:bCs/>
          <w:sz w:val="28"/>
          <w:szCs w:val="28"/>
        </w:rPr>
      </w:pPr>
      <w:r w:rsidRPr="000203DF">
        <w:rPr>
          <w:rFonts w:eastAsia="Times New Roman"/>
          <w:sz w:val="28"/>
          <w:szCs w:val="28"/>
        </w:rPr>
        <w:lastRenderedPageBreak/>
        <w:t xml:space="preserve">Thời gian tính hưởng chính sách hỗ trợ thôi việc tính từ ngày giữ chức danh không chuyên trách đến ngày thôi việc có xác nhận của UBND cấp xã nơi công tác, nếu có thời gian gián đoạn thì được cộng dồn. </w:t>
      </w:r>
      <w:r w:rsidRPr="000203DF">
        <w:rPr>
          <w:rFonts w:eastAsia="Times New Roman"/>
          <w:bCs/>
          <w:sz w:val="28"/>
          <w:szCs w:val="28"/>
        </w:rPr>
        <w:t xml:space="preserve">Nếu tổng thời gian công tác có tháng lẻ thì từ dưới 06 tháng trở xuống không tính, từ 06 trở lên tính tròn 01 năm. </w:t>
      </w:r>
    </w:p>
    <w:p w:rsidR="00C829FE" w:rsidRPr="008D1EC2" w:rsidRDefault="00FA28F7" w:rsidP="0062458E">
      <w:pPr>
        <w:spacing w:before="120" w:after="120" w:line="380" w:lineRule="exact"/>
        <w:ind w:firstLine="567"/>
        <w:jc w:val="both"/>
        <w:rPr>
          <w:rFonts w:eastAsia="Times New Roman" w:cstheme="minorBidi"/>
          <w:b/>
          <w:sz w:val="28"/>
          <w:szCs w:val="28"/>
          <w:lang w:val="vi-VN" w:eastAsia="en-US"/>
        </w:rPr>
      </w:pPr>
      <w:r w:rsidRPr="008D1EC2">
        <w:rPr>
          <w:rFonts w:eastAsia="Times New Roman" w:cstheme="minorBidi"/>
          <w:b/>
          <w:sz w:val="28"/>
          <w:szCs w:val="28"/>
          <w:lang w:val="vi-VN" w:eastAsia="en-US"/>
        </w:rPr>
        <w:t>4</w:t>
      </w:r>
      <w:r w:rsidR="002C472E" w:rsidRPr="008D1EC2">
        <w:rPr>
          <w:rFonts w:eastAsia="Times New Roman" w:cstheme="minorBidi"/>
          <w:b/>
          <w:sz w:val="28"/>
          <w:szCs w:val="28"/>
          <w:lang w:val="vi-VN" w:eastAsia="en-US"/>
        </w:rPr>
        <w:t xml:space="preserve">. Nguồn kinh phí thực hiện: </w:t>
      </w:r>
    </w:p>
    <w:p w:rsidR="00C829FE" w:rsidRPr="0062458E" w:rsidRDefault="00C829FE"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Sử dụng nguồn kinh phí thường xuyên được giao trong thời kỳ ổn định ngân sách cho các huyện, thành phố, thị xã. Nếu còn thiếu thì UBND các huyện, thành phố, thị xã có văn bản gửi Sở Nội vụ thẩm định, gửi Sở Tài chính tổng hợp, báo cáo UBND tỉnh quyết định.</w:t>
      </w:r>
    </w:p>
    <w:p w:rsidR="007D0910" w:rsidRPr="007D0910" w:rsidRDefault="007D0910" w:rsidP="007D0910">
      <w:pPr>
        <w:spacing w:before="120" w:after="120" w:line="380" w:lineRule="exact"/>
        <w:ind w:firstLine="720"/>
        <w:jc w:val="both"/>
        <w:rPr>
          <w:b/>
          <w:bCs/>
          <w:sz w:val="28"/>
          <w:szCs w:val="28"/>
        </w:rPr>
      </w:pPr>
      <w:r w:rsidRPr="007D0910">
        <w:rPr>
          <w:b/>
          <w:bCs/>
          <w:sz w:val="28"/>
          <w:szCs w:val="28"/>
        </w:rPr>
        <w:t xml:space="preserve">5. Thời gian thực hiện: </w:t>
      </w:r>
    </w:p>
    <w:p w:rsidR="007D0910" w:rsidRPr="007D0910" w:rsidRDefault="007D0910" w:rsidP="007D0910">
      <w:pPr>
        <w:spacing w:before="120" w:after="120" w:line="380" w:lineRule="exact"/>
        <w:ind w:firstLine="720"/>
        <w:jc w:val="both"/>
        <w:rPr>
          <w:b/>
          <w:bCs/>
          <w:sz w:val="28"/>
          <w:szCs w:val="28"/>
        </w:rPr>
      </w:pPr>
      <w:r w:rsidRPr="007D0910">
        <w:rPr>
          <w:bCs/>
          <w:sz w:val="28"/>
          <w:szCs w:val="28"/>
        </w:rPr>
        <w:t>Chính sách hỗ trợ theo Nghị quyết này thực hiện trong giai đoạn 20</w:t>
      </w:r>
      <w:r w:rsidR="002B6ED8">
        <w:rPr>
          <w:bCs/>
          <w:sz w:val="28"/>
          <w:szCs w:val="28"/>
        </w:rPr>
        <w:t>20</w:t>
      </w:r>
      <w:r w:rsidRPr="007D0910">
        <w:rPr>
          <w:bCs/>
          <w:sz w:val="28"/>
          <w:szCs w:val="28"/>
        </w:rPr>
        <w:t>-2021.</w:t>
      </w:r>
    </w:p>
    <w:p w:rsidR="00977F59" w:rsidRPr="008D1EC2" w:rsidRDefault="0048539C" w:rsidP="0062458E">
      <w:pPr>
        <w:spacing w:before="120" w:after="120" w:line="380" w:lineRule="exact"/>
        <w:ind w:firstLine="567"/>
        <w:jc w:val="both"/>
        <w:rPr>
          <w:rFonts w:eastAsia="Times New Roman" w:cstheme="minorBidi"/>
          <w:b/>
          <w:sz w:val="28"/>
          <w:szCs w:val="28"/>
          <w:lang w:val="vi-VN" w:eastAsia="en-US"/>
        </w:rPr>
      </w:pPr>
      <w:r w:rsidRPr="008D1EC2">
        <w:rPr>
          <w:rFonts w:eastAsia="Times New Roman" w:cstheme="minorBidi"/>
          <w:b/>
          <w:sz w:val="28"/>
          <w:szCs w:val="28"/>
          <w:lang w:val="vi-VN" w:eastAsia="en-US"/>
        </w:rPr>
        <w:t>I</w:t>
      </w:r>
      <w:r w:rsidR="006E636B" w:rsidRPr="008D1EC2">
        <w:rPr>
          <w:rFonts w:eastAsia="Times New Roman" w:cstheme="minorBidi"/>
          <w:b/>
          <w:sz w:val="28"/>
          <w:szCs w:val="28"/>
          <w:lang w:val="vi-VN" w:eastAsia="en-US"/>
        </w:rPr>
        <w:t>V</w:t>
      </w:r>
      <w:r w:rsidR="00977F59" w:rsidRPr="008D1EC2">
        <w:rPr>
          <w:rFonts w:eastAsia="Times New Roman" w:cstheme="minorBidi"/>
          <w:b/>
          <w:sz w:val="28"/>
          <w:szCs w:val="28"/>
          <w:lang w:val="vi-VN" w:eastAsia="en-US"/>
        </w:rPr>
        <w:t xml:space="preserve">. </w:t>
      </w:r>
      <w:r w:rsidR="006E636B" w:rsidRPr="008D1EC2">
        <w:rPr>
          <w:rFonts w:eastAsia="Times New Roman" w:cstheme="minorBidi"/>
          <w:b/>
          <w:sz w:val="28"/>
          <w:szCs w:val="28"/>
          <w:lang w:val="vi-VN" w:eastAsia="en-US"/>
        </w:rPr>
        <w:t>KINH PHÍ THỰC HIỆN:</w:t>
      </w:r>
    </w:p>
    <w:p w:rsidR="003F6E08" w:rsidRPr="00E735B2" w:rsidRDefault="003F6E08" w:rsidP="0062458E">
      <w:pPr>
        <w:spacing w:before="120" w:after="120" w:line="380" w:lineRule="exact"/>
        <w:ind w:firstLine="567"/>
        <w:jc w:val="both"/>
        <w:rPr>
          <w:rFonts w:eastAsia="Times New Roman" w:cstheme="minorBidi"/>
          <w:sz w:val="28"/>
          <w:szCs w:val="28"/>
          <w:lang w:eastAsia="en-US"/>
        </w:rPr>
      </w:pPr>
      <w:r w:rsidRPr="0062458E">
        <w:rPr>
          <w:rFonts w:eastAsia="Times New Roman" w:cstheme="minorBidi"/>
          <w:sz w:val="28"/>
          <w:szCs w:val="28"/>
          <w:lang w:val="vi-VN" w:eastAsia="en-US"/>
        </w:rPr>
        <w:t xml:space="preserve">- Số người không chuyên trách dôi dư: </w:t>
      </w:r>
      <w:r w:rsidR="008B3EFD">
        <w:rPr>
          <w:rFonts w:eastAsia="Times New Roman" w:cstheme="minorBidi"/>
          <w:sz w:val="28"/>
          <w:szCs w:val="28"/>
          <w:lang w:eastAsia="en-US"/>
        </w:rPr>
        <w:t>583</w:t>
      </w:r>
      <w:r w:rsidR="00755BFB">
        <w:rPr>
          <w:rFonts w:eastAsia="Times New Roman" w:cstheme="minorBidi"/>
          <w:sz w:val="28"/>
          <w:szCs w:val="28"/>
          <w:lang w:val="vi-VN" w:eastAsia="en-US"/>
        </w:rPr>
        <w:t xml:space="preserve"> người</w:t>
      </w:r>
      <w:r w:rsidR="00755BFB">
        <w:rPr>
          <w:rFonts w:eastAsia="Times New Roman" w:cstheme="minorBidi"/>
          <w:sz w:val="28"/>
          <w:szCs w:val="28"/>
          <w:lang w:eastAsia="en-US"/>
        </w:rPr>
        <w:t xml:space="preserve"> </w:t>
      </w:r>
      <w:r w:rsidR="00E735B2">
        <w:rPr>
          <w:rFonts w:eastAsia="Times New Roman" w:cstheme="minorBidi"/>
          <w:sz w:val="28"/>
          <w:szCs w:val="28"/>
          <w:lang w:eastAsia="en-US"/>
        </w:rPr>
        <w:t>(Dôi dư do sắp xếp đơn vị hành chính cấp xã: 227 người,  dôi dư do giảm số lượng theo NĐ 34/2019/ND-CP: 3</w:t>
      </w:r>
      <w:r w:rsidR="008B3EFD">
        <w:rPr>
          <w:rFonts w:eastAsia="Times New Roman" w:cstheme="minorBidi"/>
          <w:sz w:val="28"/>
          <w:szCs w:val="28"/>
          <w:lang w:eastAsia="en-US"/>
        </w:rPr>
        <w:t>56</w:t>
      </w:r>
      <w:r w:rsidR="00E735B2">
        <w:rPr>
          <w:rFonts w:eastAsia="Times New Roman" w:cstheme="minorBidi"/>
          <w:sz w:val="28"/>
          <w:szCs w:val="28"/>
          <w:lang w:eastAsia="en-US"/>
        </w:rPr>
        <w:t xml:space="preserve"> người).</w:t>
      </w:r>
    </w:p>
    <w:p w:rsidR="003F6E08" w:rsidRPr="0062458E" w:rsidRDefault="003F6E08"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 xml:space="preserve">- Mức phụ cấp </w:t>
      </w:r>
      <w:r w:rsidR="00F00CBE" w:rsidRPr="0062458E">
        <w:rPr>
          <w:rFonts w:eastAsia="Times New Roman" w:cstheme="minorBidi"/>
          <w:sz w:val="28"/>
          <w:szCs w:val="28"/>
          <w:lang w:val="vi-VN" w:eastAsia="en-US"/>
        </w:rPr>
        <w:t>bình quân</w:t>
      </w:r>
      <w:r w:rsidRPr="0062458E">
        <w:rPr>
          <w:rFonts w:eastAsia="Times New Roman" w:cstheme="minorBidi"/>
          <w:sz w:val="28"/>
          <w:szCs w:val="28"/>
          <w:lang w:val="vi-VN" w:eastAsia="en-US"/>
        </w:rPr>
        <w:t xml:space="preserve"> hiện hưởng: 1,</w:t>
      </w:r>
      <w:r w:rsidR="00F00CBE" w:rsidRPr="0062458E">
        <w:rPr>
          <w:rFonts w:eastAsia="Times New Roman" w:cstheme="minorBidi"/>
          <w:sz w:val="28"/>
          <w:szCs w:val="28"/>
          <w:lang w:val="vi-VN" w:eastAsia="en-US"/>
        </w:rPr>
        <w:t>215</w:t>
      </w:r>
      <w:r w:rsidR="003A65E4" w:rsidRPr="0062458E">
        <w:rPr>
          <w:rFonts w:eastAsia="Times New Roman" w:cstheme="minorBidi"/>
          <w:sz w:val="28"/>
          <w:szCs w:val="28"/>
          <w:lang w:val="vi-VN" w:eastAsia="en-US"/>
        </w:rPr>
        <w:t xml:space="preserve"> mức lương cơ sở</w:t>
      </w:r>
      <w:r w:rsidR="001A11AD" w:rsidRPr="0062458E">
        <w:rPr>
          <w:rFonts w:eastAsia="Times New Roman" w:cstheme="minorBidi"/>
          <w:sz w:val="28"/>
          <w:szCs w:val="28"/>
          <w:lang w:val="vi-VN" w:eastAsia="en-US"/>
        </w:rPr>
        <w:t>.</w:t>
      </w:r>
    </w:p>
    <w:p w:rsidR="003F6E08" w:rsidRPr="0062458E" w:rsidRDefault="003F6E08"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 Mức lương cơ sở: 1.490.000 đồng.</w:t>
      </w:r>
    </w:p>
    <w:p w:rsidR="003F6E08" w:rsidRPr="0062458E" w:rsidRDefault="003F6E08"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 Mức bình quân số năm công tác m</w:t>
      </w:r>
      <w:r w:rsidR="006A4739" w:rsidRPr="0062458E">
        <w:rPr>
          <w:rFonts w:eastAsia="Times New Roman" w:cstheme="minorBidi"/>
          <w:sz w:val="28"/>
          <w:szCs w:val="28"/>
          <w:lang w:val="vi-VN" w:eastAsia="en-US"/>
        </w:rPr>
        <w:t>ỗi</w:t>
      </w:r>
      <w:r w:rsidRPr="0062458E">
        <w:rPr>
          <w:rFonts w:eastAsia="Times New Roman" w:cstheme="minorBidi"/>
          <w:sz w:val="28"/>
          <w:szCs w:val="28"/>
          <w:lang w:val="vi-VN" w:eastAsia="en-US"/>
        </w:rPr>
        <w:t xml:space="preserve"> người: 07 năm.</w:t>
      </w:r>
    </w:p>
    <w:p w:rsidR="006E636B" w:rsidRPr="004F5AB4" w:rsidRDefault="00A8627C" w:rsidP="0062458E">
      <w:pPr>
        <w:spacing w:before="120" w:after="120" w:line="380" w:lineRule="exact"/>
        <w:ind w:firstLine="567"/>
        <w:jc w:val="both"/>
        <w:rPr>
          <w:rFonts w:eastAsia="Times New Roman" w:cstheme="minorBidi"/>
          <w:sz w:val="28"/>
          <w:szCs w:val="28"/>
          <w:lang w:eastAsia="en-US"/>
        </w:rPr>
      </w:pPr>
      <w:r w:rsidRPr="0062458E">
        <w:rPr>
          <w:rFonts w:eastAsia="Times New Roman" w:cstheme="minorBidi"/>
          <w:sz w:val="28"/>
          <w:szCs w:val="28"/>
          <w:lang w:val="vi-VN" w:eastAsia="en-US"/>
        </w:rPr>
        <w:t>*</w:t>
      </w:r>
      <w:r w:rsidR="006A483F">
        <w:rPr>
          <w:rFonts w:eastAsia="Times New Roman" w:cstheme="minorBidi"/>
          <w:sz w:val="28"/>
          <w:szCs w:val="28"/>
          <w:lang w:eastAsia="en-US"/>
        </w:rPr>
        <w:t xml:space="preserve"> Tổng k</w:t>
      </w:r>
      <w:r w:rsidRPr="0062458E">
        <w:rPr>
          <w:rFonts w:eastAsia="Times New Roman" w:cstheme="minorBidi"/>
          <w:sz w:val="28"/>
          <w:szCs w:val="28"/>
          <w:lang w:val="vi-VN" w:eastAsia="en-US"/>
        </w:rPr>
        <w:t>inh phí</w:t>
      </w:r>
      <w:r w:rsidR="003F6E08" w:rsidRPr="0062458E">
        <w:rPr>
          <w:rFonts w:eastAsia="Times New Roman" w:cstheme="minorBidi"/>
          <w:sz w:val="28"/>
          <w:szCs w:val="28"/>
          <w:lang w:val="vi-VN" w:eastAsia="en-US"/>
        </w:rPr>
        <w:t xml:space="preserve">: </w:t>
      </w:r>
      <w:r w:rsidR="008B3EFD">
        <w:rPr>
          <w:rFonts w:eastAsia="Times New Roman" w:cstheme="minorBidi"/>
          <w:sz w:val="28"/>
          <w:szCs w:val="28"/>
          <w:lang w:eastAsia="en-US"/>
        </w:rPr>
        <w:t>583</w:t>
      </w:r>
      <w:r w:rsidR="009268E4" w:rsidRPr="0062458E">
        <w:rPr>
          <w:rFonts w:eastAsia="Times New Roman" w:cstheme="minorBidi"/>
          <w:sz w:val="28"/>
          <w:szCs w:val="28"/>
          <w:lang w:val="vi-VN" w:eastAsia="en-US"/>
        </w:rPr>
        <w:t xml:space="preserve"> </w:t>
      </w:r>
      <w:r w:rsidR="00157D50" w:rsidRPr="0062458E">
        <w:rPr>
          <w:rFonts w:eastAsia="Times New Roman" w:cstheme="minorBidi"/>
          <w:sz w:val="28"/>
          <w:szCs w:val="28"/>
          <w:lang w:val="vi-VN" w:eastAsia="en-US"/>
        </w:rPr>
        <w:t xml:space="preserve"> ng</w:t>
      </w:r>
      <w:r w:rsidR="006E636B" w:rsidRPr="0062458E">
        <w:rPr>
          <w:rFonts w:eastAsia="Times New Roman" w:cstheme="minorBidi"/>
          <w:sz w:val="28"/>
          <w:szCs w:val="28"/>
          <w:lang w:val="vi-VN" w:eastAsia="en-US"/>
        </w:rPr>
        <w:t xml:space="preserve">ười x </w:t>
      </w:r>
      <w:r w:rsidR="00100F3C" w:rsidRPr="0062458E">
        <w:rPr>
          <w:rFonts w:eastAsia="Times New Roman" w:cstheme="minorBidi"/>
          <w:sz w:val="28"/>
          <w:szCs w:val="28"/>
          <w:lang w:val="vi-VN" w:eastAsia="en-US"/>
        </w:rPr>
        <w:t>1.</w:t>
      </w:r>
      <w:r w:rsidR="003A65E4" w:rsidRPr="0062458E">
        <w:rPr>
          <w:rFonts w:eastAsia="Times New Roman" w:cstheme="minorBidi"/>
          <w:sz w:val="28"/>
          <w:szCs w:val="28"/>
          <w:lang w:val="vi-VN" w:eastAsia="en-US"/>
        </w:rPr>
        <w:t>215</w:t>
      </w:r>
      <w:r w:rsidR="00100F3C" w:rsidRPr="0062458E">
        <w:rPr>
          <w:rFonts w:eastAsia="Times New Roman" w:cstheme="minorBidi"/>
          <w:sz w:val="28"/>
          <w:szCs w:val="28"/>
          <w:lang w:val="vi-VN" w:eastAsia="en-US"/>
        </w:rPr>
        <w:t xml:space="preserve"> x 1.490.000 đồng </w:t>
      </w:r>
      <w:r w:rsidR="00ED1877" w:rsidRPr="0062458E">
        <w:rPr>
          <w:rFonts w:eastAsia="Times New Roman" w:cstheme="minorBidi"/>
          <w:sz w:val="28"/>
          <w:szCs w:val="28"/>
          <w:lang w:val="vi-VN" w:eastAsia="en-US"/>
        </w:rPr>
        <w:t xml:space="preserve"> </w:t>
      </w:r>
      <w:r w:rsidR="00100F3C" w:rsidRPr="0062458E">
        <w:rPr>
          <w:rFonts w:eastAsia="Times New Roman" w:cstheme="minorBidi"/>
          <w:sz w:val="28"/>
          <w:szCs w:val="28"/>
          <w:lang w:val="vi-VN" w:eastAsia="en-US"/>
        </w:rPr>
        <w:t>x</w:t>
      </w:r>
      <w:r w:rsidR="003F6E08" w:rsidRPr="0062458E">
        <w:rPr>
          <w:rFonts w:eastAsia="Times New Roman" w:cstheme="minorBidi"/>
          <w:sz w:val="28"/>
          <w:szCs w:val="28"/>
          <w:lang w:val="vi-VN" w:eastAsia="en-US"/>
        </w:rPr>
        <w:t xml:space="preserve"> 7 năm = </w:t>
      </w:r>
      <w:r w:rsidR="003A65E4" w:rsidRPr="0062458E">
        <w:rPr>
          <w:rFonts w:eastAsia="Times New Roman" w:cstheme="minorBidi"/>
          <w:sz w:val="28"/>
          <w:szCs w:val="28"/>
          <w:lang w:val="vi-VN" w:eastAsia="en-US"/>
        </w:rPr>
        <w:t>7.</w:t>
      </w:r>
      <w:r w:rsidR="008B3EFD">
        <w:rPr>
          <w:rFonts w:eastAsia="Times New Roman" w:cstheme="minorBidi"/>
          <w:sz w:val="28"/>
          <w:szCs w:val="28"/>
          <w:lang w:eastAsia="en-US"/>
        </w:rPr>
        <w:t>388</w:t>
      </w:r>
      <w:r w:rsidR="003A65E4" w:rsidRPr="0062458E">
        <w:rPr>
          <w:rFonts w:eastAsia="Times New Roman" w:cstheme="minorBidi"/>
          <w:sz w:val="28"/>
          <w:szCs w:val="28"/>
          <w:lang w:val="vi-VN" w:eastAsia="en-US"/>
        </w:rPr>
        <w:t>.</w:t>
      </w:r>
      <w:r w:rsidR="008B3EFD">
        <w:rPr>
          <w:rFonts w:eastAsia="Times New Roman" w:cstheme="minorBidi"/>
          <w:sz w:val="28"/>
          <w:szCs w:val="28"/>
          <w:lang w:eastAsia="en-US"/>
        </w:rPr>
        <w:t>038</w:t>
      </w:r>
      <w:r w:rsidR="003A65E4" w:rsidRPr="0062458E">
        <w:rPr>
          <w:rFonts w:eastAsia="Times New Roman" w:cstheme="minorBidi"/>
          <w:sz w:val="28"/>
          <w:szCs w:val="28"/>
          <w:lang w:val="vi-VN" w:eastAsia="en-US"/>
        </w:rPr>
        <w:t>.000</w:t>
      </w:r>
      <w:r w:rsidR="003F6E08" w:rsidRPr="0062458E">
        <w:rPr>
          <w:rFonts w:eastAsia="Times New Roman" w:cstheme="minorBidi"/>
          <w:sz w:val="28"/>
          <w:szCs w:val="28"/>
          <w:lang w:val="vi-VN" w:eastAsia="en-US"/>
        </w:rPr>
        <w:t xml:space="preserve"> đồng</w:t>
      </w:r>
      <w:r w:rsidR="00320CD0" w:rsidRPr="0062458E">
        <w:rPr>
          <w:rFonts w:eastAsia="Times New Roman" w:cstheme="minorBidi"/>
          <w:sz w:val="28"/>
          <w:szCs w:val="28"/>
          <w:lang w:val="vi-VN" w:eastAsia="en-US"/>
        </w:rPr>
        <w:t>.</w:t>
      </w:r>
      <w:r w:rsidR="00AC49CC" w:rsidRPr="0062458E">
        <w:rPr>
          <w:rFonts w:eastAsia="Times New Roman" w:cstheme="minorBidi"/>
          <w:sz w:val="28"/>
          <w:szCs w:val="28"/>
          <w:lang w:val="vi-VN" w:eastAsia="en-US"/>
        </w:rPr>
        <w:t xml:space="preserve"> </w:t>
      </w:r>
      <w:r w:rsidR="004F5AB4">
        <w:rPr>
          <w:rFonts w:eastAsia="Times New Roman" w:cstheme="minorBidi"/>
          <w:sz w:val="28"/>
          <w:szCs w:val="28"/>
          <w:lang w:eastAsia="en-US"/>
        </w:rPr>
        <w:t xml:space="preserve">( Bảy tỷ, </w:t>
      </w:r>
      <w:r w:rsidR="008B3EFD">
        <w:rPr>
          <w:rFonts w:eastAsia="Times New Roman" w:cstheme="minorBidi"/>
          <w:sz w:val="28"/>
          <w:szCs w:val="28"/>
          <w:lang w:eastAsia="en-US"/>
        </w:rPr>
        <w:t>ba</w:t>
      </w:r>
      <w:r w:rsidR="004F5AB4">
        <w:rPr>
          <w:rFonts w:eastAsia="Times New Roman" w:cstheme="minorBidi"/>
          <w:sz w:val="28"/>
          <w:szCs w:val="28"/>
          <w:lang w:eastAsia="en-US"/>
        </w:rPr>
        <w:t xml:space="preserve"> trăm </w:t>
      </w:r>
      <w:r w:rsidR="008B3EFD">
        <w:rPr>
          <w:rFonts w:eastAsia="Times New Roman" w:cstheme="minorBidi"/>
          <w:sz w:val="28"/>
          <w:szCs w:val="28"/>
          <w:lang w:eastAsia="en-US"/>
        </w:rPr>
        <w:t>tám</w:t>
      </w:r>
      <w:r w:rsidR="004F5AB4">
        <w:rPr>
          <w:rFonts w:eastAsia="Times New Roman" w:cstheme="minorBidi"/>
          <w:sz w:val="28"/>
          <w:szCs w:val="28"/>
          <w:lang w:eastAsia="en-US"/>
        </w:rPr>
        <w:t xml:space="preserve"> mươi </w:t>
      </w:r>
      <w:r w:rsidR="008B3EFD">
        <w:rPr>
          <w:rFonts w:eastAsia="Times New Roman" w:cstheme="minorBidi"/>
          <w:sz w:val="28"/>
          <w:szCs w:val="28"/>
          <w:lang w:eastAsia="en-US"/>
        </w:rPr>
        <w:t>tám</w:t>
      </w:r>
      <w:r w:rsidR="004F5AB4">
        <w:rPr>
          <w:rFonts w:eastAsia="Times New Roman" w:cstheme="minorBidi"/>
          <w:sz w:val="28"/>
          <w:szCs w:val="28"/>
          <w:lang w:eastAsia="en-US"/>
        </w:rPr>
        <w:t xml:space="preserve"> triệu, </w:t>
      </w:r>
      <w:r w:rsidR="008B3EFD">
        <w:rPr>
          <w:rFonts w:eastAsia="Times New Roman" w:cstheme="minorBidi"/>
          <w:sz w:val="28"/>
          <w:szCs w:val="28"/>
          <w:lang w:eastAsia="en-US"/>
        </w:rPr>
        <w:t>không</w:t>
      </w:r>
      <w:r w:rsidR="004F5AB4">
        <w:rPr>
          <w:rFonts w:eastAsia="Times New Roman" w:cstheme="minorBidi"/>
          <w:sz w:val="28"/>
          <w:szCs w:val="28"/>
          <w:lang w:eastAsia="en-US"/>
        </w:rPr>
        <w:t xml:space="preserve"> trăm </w:t>
      </w:r>
      <w:r w:rsidR="008B3EFD">
        <w:rPr>
          <w:rFonts w:eastAsia="Times New Roman" w:cstheme="minorBidi"/>
          <w:sz w:val="28"/>
          <w:szCs w:val="28"/>
          <w:lang w:eastAsia="en-US"/>
        </w:rPr>
        <w:t>ba tám</w:t>
      </w:r>
      <w:r w:rsidR="004F5AB4">
        <w:rPr>
          <w:rFonts w:eastAsia="Times New Roman" w:cstheme="minorBidi"/>
          <w:sz w:val="28"/>
          <w:szCs w:val="28"/>
          <w:lang w:eastAsia="en-US"/>
        </w:rPr>
        <w:t xml:space="preserve"> ngàn đồng)</w:t>
      </w:r>
    </w:p>
    <w:p w:rsidR="008A6F07" w:rsidRPr="0062458E" w:rsidRDefault="008A6F07" w:rsidP="0062458E">
      <w:pPr>
        <w:spacing w:before="120" w:after="120" w:line="380" w:lineRule="exact"/>
        <w:ind w:firstLine="567"/>
        <w:jc w:val="both"/>
        <w:rPr>
          <w:rFonts w:eastAsia="Times New Roman" w:cstheme="minorBidi"/>
          <w:sz w:val="28"/>
          <w:szCs w:val="28"/>
          <w:lang w:val="vi-VN" w:eastAsia="en-US"/>
        </w:rPr>
      </w:pPr>
      <w:r w:rsidRPr="0062458E">
        <w:rPr>
          <w:rFonts w:eastAsia="Times New Roman" w:cstheme="minorBidi"/>
          <w:sz w:val="28"/>
          <w:szCs w:val="28"/>
          <w:lang w:val="vi-VN" w:eastAsia="en-US"/>
        </w:rPr>
        <w:t>(Chi tiết có dự thảo Nghị quyết kèm theo)</w:t>
      </w:r>
    </w:p>
    <w:p w:rsidR="00D06914" w:rsidRPr="00E46440" w:rsidRDefault="00D06914" w:rsidP="00E46440">
      <w:pPr>
        <w:shd w:val="clear" w:color="auto" w:fill="FFFFFF"/>
        <w:spacing w:line="380" w:lineRule="exact"/>
        <w:ind w:firstLine="567"/>
        <w:jc w:val="both"/>
        <w:textAlignment w:val="baseline"/>
        <w:rPr>
          <w:rFonts w:eastAsia="Times New Roman"/>
          <w:color w:val="000000"/>
          <w:sz w:val="28"/>
          <w:szCs w:val="28"/>
        </w:rPr>
      </w:pPr>
      <w:r w:rsidRPr="0062458E">
        <w:rPr>
          <w:rFonts w:eastAsia="Times New Roman" w:cstheme="minorBidi"/>
          <w:sz w:val="28"/>
          <w:szCs w:val="28"/>
          <w:lang w:val="vi-VN" w:eastAsia="en-US"/>
        </w:rPr>
        <w:t xml:space="preserve">Ủy ban nhân dân tỉnh </w:t>
      </w:r>
      <w:r w:rsidR="00FF034B" w:rsidRPr="0062458E">
        <w:rPr>
          <w:rFonts w:eastAsia="Times New Roman" w:cstheme="minorBidi"/>
          <w:sz w:val="28"/>
          <w:szCs w:val="28"/>
          <w:lang w:val="vi-VN" w:eastAsia="en-US"/>
        </w:rPr>
        <w:t xml:space="preserve">kính trình Hội đồng nhân dân tỉnh </w:t>
      </w:r>
      <w:r w:rsidRPr="0062458E">
        <w:rPr>
          <w:rFonts w:eastAsia="Times New Roman" w:cstheme="minorBidi"/>
          <w:sz w:val="28"/>
          <w:szCs w:val="28"/>
          <w:lang w:val="vi-VN" w:eastAsia="en-US"/>
        </w:rPr>
        <w:t xml:space="preserve">xem xét, </w:t>
      </w:r>
      <w:r w:rsidR="00E46440">
        <w:rPr>
          <w:rFonts w:eastAsia="Times New Roman" w:cstheme="minorBidi"/>
          <w:sz w:val="28"/>
          <w:szCs w:val="28"/>
          <w:lang w:eastAsia="en-US"/>
        </w:rPr>
        <w:t>thông qua</w:t>
      </w:r>
      <w:r w:rsidRPr="0062458E">
        <w:rPr>
          <w:rFonts w:eastAsia="Times New Roman" w:cstheme="minorBidi"/>
          <w:sz w:val="28"/>
          <w:szCs w:val="28"/>
          <w:lang w:val="vi-VN" w:eastAsia="en-US"/>
        </w:rPr>
        <w:t xml:space="preserve"> </w:t>
      </w:r>
      <w:r w:rsidR="00E46440">
        <w:rPr>
          <w:rFonts w:eastAsia="Times New Roman" w:cstheme="minorBidi"/>
          <w:sz w:val="28"/>
          <w:szCs w:val="28"/>
          <w:lang w:eastAsia="en-US"/>
        </w:rPr>
        <w:t xml:space="preserve">Nghị quyết </w:t>
      </w:r>
      <w:r w:rsidR="00747FCE" w:rsidRPr="0062458E">
        <w:rPr>
          <w:rFonts w:eastAsia="Times New Roman" w:cstheme="minorBidi"/>
          <w:sz w:val="28"/>
          <w:szCs w:val="28"/>
          <w:lang w:val="vi-VN" w:eastAsia="en-US"/>
        </w:rPr>
        <w:t>chính sách</w:t>
      </w:r>
      <w:r w:rsidR="00FF034B" w:rsidRPr="0062458E">
        <w:rPr>
          <w:rFonts w:eastAsia="Times New Roman" w:cstheme="minorBidi"/>
          <w:sz w:val="28"/>
          <w:szCs w:val="28"/>
          <w:lang w:val="vi-VN" w:eastAsia="en-US"/>
        </w:rPr>
        <w:t xml:space="preserve"> về  hỗ trợ </w:t>
      </w:r>
      <w:r w:rsidR="00E46440">
        <w:rPr>
          <w:rFonts w:eastAsia="Times New Roman" w:cstheme="minorBidi"/>
          <w:sz w:val="28"/>
          <w:szCs w:val="28"/>
          <w:lang w:eastAsia="en-US"/>
        </w:rPr>
        <w:t xml:space="preserve"> đối với</w:t>
      </w:r>
      <w:r w:rsidR="00FF034B" w:rsidRPr="0062458E">
        <w:rPr>
          <w:rFonts w:eastAsia="Times New Roman" w:cstheme="minorBidi"/>
          <w:sz w:val="28"/>
          <w:szCs w:val="28"/>
          <w:lang w:val="vi-VN" w:eastAsia="en-US"/>
        </w:rPr>
        <w:t xml:space="preserve"> người hoạt động không chuyên trách ở </w:t>
      </w:r>
      <w:r w:rsidR="00747FCE" w:rsidRPr="0062458E">
        <w:rPr>
          <w:rFonts w:eastAsia="Times New Roman" w:cstheme="minorBidi"/>
          <w:sz w:val="28"/>
          <w:szCs w:val="28"/>
          <w:lang w:val="vi-VN" w:eastAsia="en-US"/>
        </w:rPr>
        <w:t>cấp xã</w:t>
      </w:r>
      <w:r w:rsidR="00FF034B" w:rsidRPr="0062458E">
        <w:rPr>
          <w:rFonts w:eastAsia="Times New Roman" w:cstheme="minorBidi"/>
          <w:sz w:val="28"/>
          <w:szCs w:val="28"/>
          <w:lang w:val="vi-VN" w:eastAsia="en-US"/>
        </w:rPr>
        <w:t xml:space="preserve"> </w:t>
      </w:r>
      <w:r w:rsidR="00AD6291" w:rsidRPr="0062458E">
        <w:rPr>
          <w:rFonts w:eastAsia="Times New Roman" w:cstheme="minorBidi"/>
          <w:sz w:val="28"/>
          <w:szCs w:val="28"/>
          <w:lang w:val="vi-VN" w:eastAsia="en-US"/>
        </w:rPr>
        <w:t>thôi việc</w:t>
      </w:r>
      <w:r w:rsidR="00FF034B" w:rsidRPr="0062458E">
        <w:rPr>
          <w:rFonts w:eastAsia="Times New Roman" w:cstheme="minorBidi"/>
          <w:sz w:val="28"/>
          <w:szCs w:val="28"/>
          <w:lang w:val="vi-VN" w:eastAsia="en-US"/>
        </w:rPr>
        <w:t xml:space="preserve"> do dôi dư khi thực hiện </w:t>
      </w:r>
      <w:r w:rsidR="00747FCE" w:rsidRPr="0062458E">
        <w:rPr>
          <w:rFonts w:eastAsia="Times New Roman" w:cstheme="minorBidi"/>
          <w:sz w:val="28"/>
          <w:szCs w:val="28"/>
          <w:lang w:val="vi-VN" w:eastAsia="en-US"/>
        </w:rPr>
        <w:t xml:space="preserve">sắp xếp đơn vị hành chính cấp </w:t>
      </w:r>
      <w:r w:rsidR="00747FCE" w:rsidRPr="00E46440">
        <w:rPr>
          <w:rFonts w:eastAsia="Times New Roman" w:cstheme="minorBidi"/>
          <w:sz w:val="28"/>
          <w:szCs w:val="28"/>
          <w:lang w:val="vi-VN" w:eastAsia="en-US"/>
        </w:rPr>
        <w:t xml:space="preserve">xã </w:t>
      </w:r>
      <w:r w:rsidR="00E46440" w:rsidRPr="00E46440">
        <w:rPr>
          <w:rFonts w:eastAsia="Times New Roman"/>
          <w:color w:val="000000"/>
          <w:sz w:val="28"/>
          <w:szCs w:val="28"/>
        </w:rPr>
        <w:t>và giảm số lượng theo quy định của Nghị định</w:t>
      </w:r>
      <w:r w:rsidR="00E46440" w:rsidRPr="00E46440">
        <w:rPr>
          <w:color w:val="000000"/>
          <w:sz w:val="28"/>
          <w:szCs w:val="28"/>
          <w:lang w:val="nl-NL"/>
        </w:rPr>
        <w:t xml:space="preserve"> số 34/2019/NĐ-CP</w:t>
      </w:r>
      <w:r w:rsidR="00E46440">
        <w:rPr>
          <w:rFonts w:eastAsia="Times New Roman"/>
          <w:color w:val="000000"/>
          <w:sz w:val="28"/>
          <w:szCs w:val="28"/>
        </w:rPr>
        <w:t xml:space="preserve"> </w:t>
      </w:r>
      <w:r w:rsidR="00C959D3">
        <w:rPr>
          <w:rFonts w:eastAsia="Times New Roman"/>
          <w:color w:val="000000"/>
          <w:sz w:val="28"/>
          <w:szCs w:val="28"/>
        </w:rPr>
        <w:t xml:space="preserve">và Nghị quyết của HĐND tỉnh </w:t>
      </w:r>
      <w:r w:rsidR="00E46440" w:rsidRPr="00E46440">
        <w:rPr>
          <w:rFonts w:eastAsia="Times New Roman"/>
          <w:color w:val="000000"/>
          <w:sz w:val="28"/>
          <w:szCs w:val="28"/>
        </w:rPr>
        <w:t>trên địa bàn tỉnh Quảng Trị</w:t>
      </w:r>
      <w:r w:rsidR="00E46440">
        <w:rPr>
          <w:rFonts w:eastAsia="Times New Roman"/>
          <w:color w:val="000000"/>
          <w:sz w:val="28"/>
          <w:szCs w:val="28"/>
        </w:rPr>
        <w:t xml:space="preserve"> </w:t>
      </w:r>
      <w:r w:rsidRPr="0062458E">
        <w:rPr>
          <w:rFonts w:eastAsia="Times New Roman" w:cstheme="minorBidi"/>
          <w:sz w:val="28"/>
          <w:szCs w:val="28"/>
          <w:lang w:val="vi-VN" w:eastAsia="en-US"/>
        </w:rPr>
        <w:t xml:space="preserve">theo thẩm quyền./.   </w:t>
      </w:r>
    </w:p>
    <w:tbl>
      <w:tblPr>
        <w:tblW w:w="9070" w:type="dxa"/>
        <w:tblInd w:w="288" w:type="dxa"/>
        <w:tblLayout w:type="fixed"/>
        <w:tblLook w:val="0000"/>
      </w:tblPr>
      <w:tblGrid>
        <w:gridCol w:w="4640"/>
        <w:gridCol w:w="4430"/>
      </w:tblGrid>
      <w:tr w:rsidR="001A3BF3" w:rsidRPr="00D30EB1" w:rsidTr="00DE2DEA">
        <w:trPr>
          <w:trHeight w:val="1658"/>
        </w:trPr>
        <w:tc>
          <w:tcPr>
            <w:tcW w:w="4640" w:type="dxa"/>
          </w:tcPr>
          <w:p w:rsidR="001A3BF3" w:rsidRPr="001A3BF3" w:rsidRDefault="001A3BF3" w:rsidP="00EC6383">
            <w:pPr>
              <w:spacing w:line="300" w:lineRule="exact"/>
              <w:rPr>
                <w:i/>
                <w:sz w:val="22"/>
              </w:rPr>
            </w:pPr>
            <w:r w:rsidRPr="001A3BF3">
              <w:rPr>
                <w:i/>
                <w:sz w:val="22"/>
              </w:rPr>
              <w:t> </w:t>
            </w:r>
          </w:p>
          <w:p w:rsidR="00D738BB" w:rsidRPr="0011348C" w:rsidRDefault="001A3BF3" w:rsidP="00EC6383">
            <w:pPr>
              <w:spacing w:line="300" w:lineRule="exact"/>
              <w:rPr>
                <w:sz w:val="22"/>
              </w:rPr>
            </w:pPr>
            <w:r w:rsidRPr="0011348C">
              <w:rPr>
                <w:b/>
                <w:i/>
                <w:sz w:val="22"/>
              </w:rPr>
              <w:t>Nơi nhận:</w:t>
            </w:r>
            <w:r w:rsidRPr="0011348C">
              <w:rPr>
                <w:b/>
                <w:i/>
                <w:sz w:val="22"/>
              </w:rPr>
              <w:br/>
            </w:r>
            <w:r w:rsidRPr="0011348C">
              <w:rPr>
                <w:sz w:val="22"/>
              </w:rPr>
              <w:t xml:space="preserve">- Như </w:t>
            </w:r>
            <w:r w:rsidR="00D738BB" w:rsidRPr="0011348C">
              <w:rPr>
                <w:sz w:val="22"/>
              </w:rPr>
              <w:t>trên</w:t>
            </w:r>
            <w:r w:rsidRPr="0011348C">
              <w:rPr>
                <w:sz w:val="22"/>
              </w:rPr>
              <w:t>;</w:t>
            </w:r>
          </w:p>
          <w:p w:rsidR="001A3BF3" w:rsidRPr="0011348C" w:rsidRDefault="00D738BB" w:rsidP="00EC6383">
            <w:pPr>
              <w:spacing w:line="300" w:lineRule="exact"/>
              <w:rPr>
                <w:sz w:val="22"/>
              </w:rPr>
            </w:pPr>
            <w:r w:rsidRPr="0011348C">
              <w:rPr>
                <w:sz w:val="22"/>
              </w:rPr>
              <w:t xml:space="preserve"> </w:t>
            </w:r>
            <w:r w:rsidR="001A3BF3" w:rsidRPr="0011348C">
              <w:rPr>
                <w:sz w:val="22"/>
              </w:rPr>
              <w:t>- TT TU; TT HĐND tỉnh;</w:t>
            </w:r>
            <w:r w:rsidR="001A3BF3" w:rsidRPr="0011348C">
              <w:rPr>
                <w:sz w:val="22"/>
              </w:rPr>
              <w:br/>
              <w:t>- CT, các PCT UBND tỉnh;</w:t>
            </w:r>
            <w:r w:rsidR="001A3BF3" w:rsidRPr="0011348C">
              <w:rPr>
                <w:sz w:val="22"/>
              </w:rPr>
              <w:br/>
              <w:t>- MTTQVN, Đoàn thể tỉnh;</w:t>
            </w:r>
            <w:r w:rsidR="001A3BF3" w:rsidRPr="0011348C">
              <w:rPr>
                <w:sz w:val="22"/>
              </w:rPr>
              <w:br/>
              <w:t>- Lưu: VT.</w:t>
            </w:r>
            <w:r w:rsidR="001A3BF3" w:rsidRPr="0011348C">
              <w:rPr>
                <w:sz w:val="22"/>
              </w:rPr>
              <w:br/>
            </w:r>
          </w:p>
          <w:p w:rsidR="001A3BF3" w:rsidRPr="001A3BF3" w:rsidRDefault="001A3BF3" w:rsidP="00EC6383">
            <w:pPr>
              <w:spacing w:line="300" w:lineRule="exact"/>
              <w:rPr>
                <w:i/>
                <w:sz w:val="22"/>
              </w:rPr>
            </w:pPr>
          </w:p>
        </w:tc>
        <w:tc>
          <w:tcPr>
            <w:tcW w:w="4430" w:type="dxa"/>
          </w:tcPr>
          <w:p w:rsidR="001A3BF3" w:rsidRPr="001A3BF3" w:rsidRDefault="001A3BF3" w:rsidP="00EC6383">
            <w:pPr>
              <w:spacing w:line="300" w:lineRule="exact"/>
              <w:jc w:val="center"/>
              <w:rPr>
                <w:b/>
                <w:bCs/>
                <w:szCs w:val="28"/>
                <w:lang w:val="vi-VN"/>
              </w:rPr>
            </w:pPr>
            <w:r w:rsidRPr="001A3BF3">
              <w:rPr>
                <w:b/>
                <w:bCs/>
                <w:szCs w:val="28"/>
                <w:lang w:val="vi-VN"/>
              </w:rPr>
              <w:lastRenderedPageBreak/>
              <w:t>TM. ỦY BAN NHÂN DÂN</w:t>
            </w:r>
            <w:r w:rsidRPr="001A3BF3">
              <w:rPr>
                <w:b/>
                <w:bCs/>
                <w:szCs w:val="28"/>
                <w:lang w:val="vi-VN"/>
              </w:rPr>
              <w:br/>
              <w:t>CHỦ TỊCH</w:t>
            </w:r>
            <w:r w:rsidRPr="001A3BF3">
              <w:rPr>
                <w:b/>
                <w:bCs/>
                <w:szCs w:val="28"/>
                <w:lang w:val="vi-VN"/>
              </w:rPr>
              <w:br/>
            </w:r>
            <w:r w:rsidRPr="001A3BF3">
              <w:rPr>
                <w:b/>
                <w:bCs/>
                <w:szCs w:val="28"/>
                <w:lang w:val="vi-VN"/>
              </w:rPr>
              <w:br/>
            </w:r>
            <w:r w:rsidRPr="001A3BF3">
              <w:rPr>
                <w:b/>
                <w:bCs/>
                <w:szCs w:val="28"/>
                <w:lang w:val="vi-VN"/>
              </w:rPr>
              <w:br/>
            </w:r>
            <w:r w:rsidRPr="001A3BF3">
              <w:rPr>
                <w:b/>
                <w:bCs/>
                <w:szCs w:val="28"/>
                <w:lang w:val="vi-VN"/>
              </w:rPr>
              <w:br/>
            </w:r>
            <w:r w:rsidRPr="001A3BF3">
              <w:rPr>
                <w:b/>
                <w:bCs/>
                <w:szCs w:val="28"/>
                <w:lang w:val="vi-VN"/>
              </w:rPr>
              <w:br/>
            </w:r>
          </w:p>
          <w:p w:rsidR="001A3BF3" w:rsidRPr="00DE2DEA" w:rsidRDefault="001A3BF3" w:rsidP="00EC6383">
            <w:pPr>
              <w:spacing w:line="300" w:lineRule="exact"/>
              <w:jc w:val="center"/>
              <w:rPr>
                <w:b/>
                <w:bCs/>
                <w:szCs w:val="28"/>
              </w:rPr>
            </w:pPr>
          </w:p>
        </w:tc>
      </w:tr>
      <w:tr w:rsidR="00D06914" w:rsidRPr="00E27FB5" w:rsidTr="00DE2DEA">
        <w:trPr>
          <w:trHeight w:val="198"/>
        </w:trPr>
        <w:tc>
          <w:tcPr>
            <w:tcW w:w="4640" w:type="dxa"/>
          </w:tcPr>
          <w:p w:rsidR="00D06914" w:rsidRPr="001A3BF3" w:rsidRDefault="00D06914" w:rsidP="00EC6383">
            <w:pPr>
              <w:spacing w:line="300" w:lineRule="exact"/>
              <w:rPr>
                <w:i/>
                <w:sz w:val="22"/>
              </w:rPr>
            </w:pPr>
          </w:p>
        </w:tc>
        <w:tc>
          <w:tcPr>
            <w:tcW w:w="4430" w:type="dxa"/>
          </w:tcPr>
          <w:p w:rsidR="00D06914" w:rsidRPr="00DE2DEA" w:rsidRDefault="00D06914" w:rsidP="00EC6383">
            <w:pPr>
              <w:spacing w:line="300" w:lineRule="exact"/>
              <w:rPr>
                <w:b/>
                <w:bCs/>
                <w:szCs w:val="28"/>
              </w:rPr>
            </w:pPr>
          </w:p>
        </w:tc>
      </w:tr>
    </w:tbl>
    <w:p w:rsidR="00D06914" w:rsidRPr="00E27FB5" w:rsidRDefault="00D06914" w:rsidP="00EC6383">
      <w:pPr>
        <w:spacing w:line="300" w:lineRule="exact"/>
        <w:rPr>
          <w:lang w:val="vi-VN"/>
        </w:rPr>
      </w:pPr>
    </w:p>
    <w:p w:rsidR="0097743E" w:rsidRDefault="0097743E" w:rsidP="00EC6383">
      <w:pPr>
        <w:spacing w:line="300" w:lineRule="exact"/>
      </w:pPr>
    </w:p>
    <w:sectPr w:rsidR="0097743E" w:rsidSect="00C660C7">
      <w:footerReference w:type="even" r:id="rId12"/>
      <w:footerReference w:type="default" r:id="rId13"/>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86" w:rsidRDefault="00246386" w:rsidP="00CA3617">
      <w:r>
        <w:separator/>
      </w:r>
    </w:p>
  </w:endnote>
  <w:endnote w:type="continuationSeparator" w:id="1">
    <w:p w:rsidR="00246386" w:rsidRDefault="00246386" w:rsidP="00CA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6E" w:rsidRDefault="00917844" w:rsidP="00876753">
    <w:pPr>
      <w:pStyle w:val="Footer"/>
      <w:framePr w:wrap="around" w:vAnchor="text" w:hAnchor="margin" w:xAlign="right" w:y="1"/>
      <w:rPr>
        <w:rStyle w:val="PageNumber"/>
      </w:rPr>
    </w:pPr>
    <w:r>
      <w:rPr>
        <w:rStyle w:val="PageNumber"/>
      </w:rPr>
      <w:fldChar w:fldCharType="begin"/>
    </w:r>
    <w:r w:rsidR="00AA1271">
      <w:rPr>
        <w:rStyle w:val="PageNumber"/>
      </w:rPr>
      <w:instrText xml:space="preserve">PAGE  </w:instrText>
    </w:r>
    <w:r>
      <w:rPr>
        <w:rStyle w:val="PageNumber"/>
      </w:rPr>
      <w:fldChar w:fldCharType="end"/>
    </w:r>
  </w:p>
  <w:p w:rsidR="0063496E" w:rsidRDefault="00246386" w:rsidP="00876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6E" w:rsidRPr="00BF525A" w:rsidRDefault="00917844" w:rsidP="00876753">
    <w:pPr>
      <w:pStyle w:val="Footer"/>
      <w:framePr w:wrap="around" w:vAnchor="text" w:hAnchor="margin" w:xAlign="right" w:y="1"/>
      <w:rPr>
        <w:rStyle w:val="PageNumber"/>
        <w:sz w:val="24"/>
      </w:rPr>
    </w:pPr>
    <w:r w:rsidRPr="00BF525A">
      <w:rPr>
        <w:rStyle w:val="PageNumber"/>
        <w:sz w:val="24"/>
      </w:rPr>
      <w:fldChar w:fldCharType="begin"/>
    </w:r>
    <w:r w:rsidR="00AA1271" w:rsidRPr="00BF525A">
      <w:rPr>
        <w:rStyle w:val="PageNumber"/>
        <w:sz w:val="24"/>
      </w:rPr>
      <w:instrText xml:space="preserve">PAGE  </w:instrText>
    </w:r>
    <w:r w:rsidRPr="00BF525A">
      <w:rPr>
        <w:rStyle w:val="PageNumber"/>
        <w:sz w:val="24"/>
      </w:rPr>
      <w:fldChar w:fldCharType="separate"/>
    </w:r>
    <w:r w:rsidR="004B7FB4">
      <w:rPr>
        <w:rStyle w:val="PageNumber"/>
        <w:noProof/>
        <w:sz w:val="24"/>
      </w:rPr>
      <w:t>5</w:t>
    </w:r>
    <w:r w:rsidRPr="00BF525A">
      <w:rPr>
        <w:rStyle w:val="PageNumber"/>
        <w:sz w:val="24"/>
      </w:rPr>
      <w:fldChar w:fldCharType="end"/>
    </w:r>
  </w:p>
  <w:p w:rsidR="0063496E" w:rsidRDefault="00246386" w:rsidP="008767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86" w:rsidRDefault="00246386" w:rsidP="00CA3617">
      <w:r>
        <w:separator/>
      </w:r>
    </w:p>
  </w:footnote>
  <w:footnote w:type="continuationSeparator" w:id="1">
    <w:p w:rsidR="00246386" w:rsidRDefault="00246386" w:rsidP="00CA3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220CAA"/>
    <w:multiLevelType w:val="hybridMultilevel"/>
    <w:tmpl w:val="C14C380C"/>
    <w:lvl w:ilvl="0" w:tplc="D94E0C14">
      <w:start w:val="227"/>
      <w:numFmt w:val="decimal"/>
      <w:lvlText w:val="%1"/>
      <w:lvlJc w:val="left"/>
      <w:pPr>
        <w:ind w:left="1467" w:hanging="45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
    <w:nsid w:val="1AB65E1A"/>
    <w:multiLevelType w:val="hybridMultilevel"/>
    <w:tmpl w:val="9732CE94"/>
    <w:lvl w:ilvl="0" w:tplc="C14AA9B8">
      <w:start w:val="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3654A8"/>
    <w:multiLevelType w:val="hybridMultilevel"/>
    <w:tmpl w:val="7298AD3C"/>
    <w:lvl w:ilvl="0" w:tplc="4A4829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9502840"/>
    <w:multiLevelType w:val="hybridMultilevel"/>
    <w:tmpl w:val="069E1DE8"/>
    <w:lvl w:ilvl="0" w:tplc="A0FA2F8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54A0710"/>
    <w:multiLevelType w:val="hybridMultilevel"/>
    <w:tmpl w:val="3684BBFC"/>
    <w:lvl w:ilvl="0" w:tplc="6580494C">
      <w:start w:val="227"/>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9E5602"/>
    <w:multiLevelType w:val="hybridMultilevel"/>
    <w:tmpl w:val="69DA5906"/>
    <w:lvl w:ilvl="0" w:tplc="5790C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06914"/>
    <w:rsid w:val="000007B8"/>
    <w:rsid w:val="00012F47"/>
    <w:rsid w:val="000203DF"/>
    <w:rsid w:val="000216AC"/>
    <w:rsid w:val="00024848"/>
    <w:rsid w:val="0004343B"/>
    <w:rsid w:val="00052747"/>
    <w:rsid w:val="0007008C"/>
    <w:rsid w:val="000702E8"/>
    <w:rsid w:val="00074246"/>
    <w:rsid w:val="000755C6"/>
    <w:rsid w:val="00087501"/>
    <w:rsid w:val="000A68C7"/>
    <w:rsid w:val="000B33A6"/>
    <w:rsid w:val="000C50D1"/>
    <w:rsid w:val="00100F3C"/>
    <w:rsid w:val="00102686"/>
    <w:rsid w:val="0010618C"/>
    <w:rsid w:val="0011348C"/>
    <w:rsid w:val="00113AC9"/>
    <w:rsid w:val="00114915"/>
    <w:rsid w:val="0013145D"/>
    <w:rsid w:val="00157D50"/>
    <w:rsid w:val="00165822"/>
    <w:rsid w:val="001A11AD"/>
    <w:rsid w:val="001A1F24"/>
    <w:rsid w:val="001A3BF3"/>
    <w:rsid w:val="001B3C3F"/>
    <w:rsid w:val="001D01D2"/>
    <w:rsid w:val="001D6D5B"/>
    <w:rsid w:val="001F00C4"/>
    <w:rsid w:val="002022C4"/>
    <w:rsid w:val="0021171A"/>
    <w:rsid w:val="0023141B"/>
    <w:rsid w:val="00246386"/>
    <w:rsid w:val="00257AD1"/>
    <w:rsid w:val="00265A11"/>
    <w:rsid w:val="00290143"/>
    <w:rsid w:val="0029030B"/>
    <w:rsid w:val="002B6ED8"/>
    <w:rsid w:val="002C472E"/>
    <w:rsid w:val="002F0F98"/>
    <w:rsid w:val="002F128B"/>
    <w:rsid w:val="002F1E99"/>
    <w:rsid w:val="00310F97"/>
    <w:rsid w:val="0032025F"/>
    <w:rsid w:val="00320CD0"/>
    <w:rsid w:val="0032734E"/>
    <w:rsid w:val="0034353E"/>
    <w:rsid w:val="003666A6"/>
    <w:rsid w:val="003738EC"/>
    <w:rsid w:val="003756D3"/>
    <w:rsid w:val="003A65E4"/>
    <w:rsid w:val="003C10B5"/>
    <w:rsid w:val="003D41C3"/>
    <w:rsid w:val="003E69CA"/>
    <w:rsid w:val="003E6AC2"/>
    <w:rsid w:val="003E7CD6"/>
    <w:rsid w:val="003F071A"/>
    <w:rsid w:val="003F539C"/>
    <w:rsid w:val="003F6078"/>
    <w:rsid w:val="003F6E08"/>
    <w:rsid w:val="00402828"/>
    <w:rsid w:val="00410EEF"/>
    <w:rsid w:val="00451464"/>
    <w:rsid w:val="00451F09"/>
    <w:rsid w:val="004536D1"/>
    <w:rsid w:val="00456731"/>
    <w:rsid w:val="00470104"/>
    <w:rsid w:val="0048539C"/>
    <w:rsid w:val="00492395"/>
    <w:rsid w:val="00493370"/>
    <w:rsid w:val="004A2949"/>
    <w:rsid w:val="004A49D2"/>
    <w:rsid w:val="004A723F"/>
    <w:rsid w:val="004B3B93"/>
    <w:rsid w:val="004B7FB4"/>
    <w:rsid w:val="004C311E"/>
    <w:rsid w:val="004D6778"/>
    <w:rsid w:val="004E500E"/>
    <w:rsid w:val="004E77D4"/>
    <w:rsid w:val="004F5AB4"/>
    <w:rsid w:val="00512408"/>
    <w:rsid w:val="00516215"/>
    <w:rsid w:val="00523BB9"/>
    <w:rsid w:val="005732D8"/>
    <w:rsid w:val="00581160"/>
    <w:rsid w:val="005975C2"/>
    <w:rsid w:val="005A14FE"/>
    <w:rsid w:val="005A7CEA"/>
    <w:rsid w:val="005B6F61"/>
    <w:rsid w:val="005D4698"/>
    <w:rsid w:val="005D6425"/>
    <w:rsid w:val="005F1873"/>
    <w:rsid w:val="005F2D23"/>
    <w:rsid w:val="005F5D52"/>
    <w:rsid w:val="00605A20"/>
    <w:rsid w:val="006206E7"/>
    <w:rsid w:val="00622E76"/>
    <w:rsid w:val="0062458E"/>
    <w:rsid w:val="00624DA2"/>
    <w:rsid w:val="00625D8D"/>
    <w:rsid w:val="006352DA"/>
    <w:rsid w:val="006535EB"/>
    <w:rsid w:val="00654C21"/>
    <w:rsid w:val="00682BB5"/>
    <w:rsid w:val="00694C0E"/>
    <w:rsid w:val="006A4739"/>
    <w:rsid w:val="006A483F"/>
    <w:rsid w:val="006B3883"/>
    <w:rsid w:val="006B4D85"/>
    <w:rsid w:val="006B7345"/>
    <w:rsid w:val="006C35C0"/>
    <w:rsid w:val="006D01A8"/>
    <w:rsid w:val="006D5DE5"/>
    <w:rsid w:val="006E1360"/>
    <w:rsid w:val="006E636B"/>
    <w:rsid w:val="00701488"/>
    <w:rsid w:val="007022DE"/>
    <w:rsid w:val="00703B30"/>
    <w:rsid w:val="00703B94"/>
    <w:rsid w:val="00705FF6"/>
    <w:rsid w:val="00715FD1"/>
    <w:rsid w:val="00721F07"/>
    <w:rsid w:val="007229F6"/>
    <w:rsid w:val="00740FBE"/>
    <w:rsid w:val="00747FCE"/>
    <w:rsid w:val="00755BFB"/>
    <w:rsid w:val="00771D9F"/>
    <w:rsid w:val="007B136C"/>
    <w:rsid w:val="007B3268"/>
    <w:rsid w:val="007B3B0D"/>
    <w:rsid w:val="007C1B0C"/>
    <w:rsid w:val="007C6C06"/>
    <w:rsid w:val="007D0910"/>
    <w:rsid w:val="007E530B"/>
    <w:rsid w:val="00811B44"/>
    <w:rsid w:val="00812484"/>
    <w:rsid w:val="0082553A"/>
    <w:rsid w:val="00840360"/>
    <w:rsid w:val="00843B4F"/>
    <w:rsid w:val="008761BF"/>
    <w:rsid w:val="008836DA"/>
    <w:rsid w:val="008A21B7"/>
    <w:rsid w:val="008A6F07"/>
    <w:rsid w:val="008B3EFD"/>
    <w:rsid w:val="008C0A94"/>
    <w:rsid w:val="008C1699"/>
    <w:rsid w:val="008C3BDB"/>
    <w:rsid w:val="008C49F1"/>
    <w:rsid w:val="008C7F93"/>
    <w:rsid w:val="008D1EC2"/>
    <w:rsid w:val="008D3A6A"/>
    <w:rsid w:val="008E09D4"/>
    <w:rsid w:val="008F79C1"/>
    <w:rsid w:val="0090397D"/>
    <w:rsid w:val="00917844"/>
    <w:rsid w:val="00920C88"/>
    <w:rsid w:val="009268E4"/>
    <w:rsid w:val="009319D8"/>
    <w:rsid w:val="0097743E"/>
    <w:rsid w:val="00977F59"/>
    <w:rsid w:val="009957B6"/>
    <w:rsid w:val="009C0E27"/>
    <w:rsid w:val="009D2BD8"/>
    <w:rsid w:val="009F5AEA"/>
    <w:rsid w:val="009F6F25"/>
    <w:rsid w:val="00A36943"/>
    <w:rsid w:val="00A45A68"/>
    <w:rsid w:val="00A84E13"/>
    <w:rsid w:val="00A8627C"/>
    <w:rsid w:val="00A92005"/>
    <w:rsid w:val="00A975E1"/>
    <w:rsid w:val="00AA1271"/>
    <w:rsid w:val="00AA771D"/>
    <w:rsid w:val="00AC49CC"/>
    <w:rsid w:val="00AC524D"/>
    <w:rsid w:val="00AD6291"/>
    <w:rsid w:val="00AD6C71"/>
    <w:rsid w:val="00AF15CD"/>
    <w:rsid w:val="00B05A7C"/>
    <w:rsid w:val="00B249DA"/>
    <w:rsid w:val="00B261BC"/>
    <w:rsid w:val="00B263C2"/>
    <w:rsid w:val="00B27067"/>
    <w:rsid w:val="00B60C7E"/>
    <w:rsid w:val="00B7347B"/>
    <w:rsid w:val="00BA10D1"/>
    <w:rsid w:val="00BA3FCB"/>
    <w:rsid w:val="00BC67E2"/>
    <w:rsid w:val="00BF3946"/>
    <w:rsid w:val="00C30368"/>
    <w:rsid w:val="00C30DCD"/>
    <w:rsid w:val="00C31EB5"/>
    <w:rsid w:val="00C36BEB"/>
    <w:rsid w:val="00C46A77"/>
    <w:rsid w:val="00C750EB"/>
    <w:rsid w:val="00C829FE"/>
    <w:rsid w:val="00C903F7"/>
    <w:rsid w:val="00C959D3"/>
    <w:rsid w:val="00C97CD4"/>
    <w:rsid w:val="00CA3617"/>
    <w:rsid w:val="00CB1DB2"/>
    <w:rsid w:val="00CB74C7"/>
    <w:rsid w:val="00CC47E1"/>
    <w:rsid w:val="00CE218A"/>
    <w:rsid w:val="00D0034D"/>
    <w:rsid w:val="00D06914"/>
    <w:rsid w:val="00D11D10"/>
    <w:rsid w:val="00D15811"/>
    <w:rsid w:val="00D20000"/>
    <w:rsid w:val="00D211AA"/>
    <w:rsid w:val="00D21E4E"/>
    <w:rsid w:val="00D362C3"/>
    <w:rsid w:val="00D644A0"/>
    <w:rsid w:val="00D738BB"/>
    <w:rsid w:val="00D92BB3"/>
    <w:rsid w:val="00D97575"/>
    <w:rsid w:val="00DA77BE"/>
    <w:rsid w:val="00DB4A06"/>
    <w:rsid w:val="00DB59C3"/>
    <w:rsid w:val="00DB75AA"/>
    <w:rsid w:val="00DC1655"/>
    <w:rsid w:val="00DC6CD1"/>
    <w:rsid w:val="00DE2DEA"/>
    <w:rsid w:val="00DF3601"/>
    <w:rsid w:val="00E02306"/>
    <w:rsid w:val="00E05755"/>
    <w:rsid w:val="00E14A16"/>
    <w:rsid w:val="00E25133"/>
    <w:rsid w:val="00E27E4A"/>
    <w:rsid w:val="00E422FC"/>
    <w:rsid w:val="00E42D1A"/>
    <w:rsid w:val="00E46440"/>
    <w:rsid w:val="00E51618"/>
    <w:rsid w:val="00E5469F"/>
    <w:rsid w:val="00E64C15"/>
    <w:rsid w:val="00E711EE"/>
    <w:rsid w:val="00E735B2"/>
    <w:rsid w:val="00E75948"/>
    <w:rsid w:val="00E86CD8"/>
    <w:rsid w:val="00E9636B"/>
    <w:rsid w:val="00EB67FB"/>
    <w:rsid w:val="00EC6383"/>
    <w:rsid w:val="00EC6576"/>
    <w:rsid w:val="00EC718A"/>
    <w:rsid w:val="00ED1877"/>
    <w:rsid w:val="00ED1A37"/>
    <w:rsid w:val="00EE5CDC"/>
    <w:rsid w:val="00F00CBE"/>
    <w:rsid w:val="00F20808"/>
    <w:rsid w:val="00F5271D"/>
    <w:rsid w:val="00F57E54"/>
    <w:rsid w:val="00F67B6E"/>
    <w:rsid w:val="00F803E0"/>
    <w:rsid w:val="00F96773"/>
    <w:rsid w:val="00FA28F7"/>
    <w:rsid w:val="00FA2E20"/>
    <w:rsid w:val="00FB3436"/>
    <w:rsid w:val="00FC4FD5"/>
    <w:rsid w:val="00FE679B"/>
    <w:rsid w:val="00FF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14"/>
    <w:pPr>
      <w:spacing w:after="0" w:line="240" w:lineRule="auto"/>
    </w:pPr>
    <w:rPr>
      <w:rFonts w:eastAsia="SimSun" w:cs="Times New Roman"/>
      <w:sz w:val="24"/>
      <w:szCs w:val="24"/>
      <w:lang w:eastAsia="zh-CN"/>
    </w:rPr>
  </w:style>
  <w:style w:type="paragraph" w:styleId="Heading1">
    <w:name w:val="heading 1"/>
    <w:basedOn w:val="Normal"/>
    <w:next w:val="Normal"/>
    <w:link w:val="Heading1Char"/>
    <w:qFormat/>
    <w:rsid w:val="00D06914"/>
    <w:pPr>
      <w:keepNext/>
      <w:jc w:val="center"/>
      <w:outlineLvl w:val="0"/>
    </w:pPr>
    <w:rPr>
      <w:rFonts w:ascii=".VnTime" w:eastAsia="Times New Roman" w:hAnsi=".VnTime"/>
      <w:i/>
      <w:color w:val="FF0000"/>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14"/>
    <w:rPr>
      <w:rFonts w:ascii=".VnTime" w:eastAsia="Times New Roman" w:hAnsi=".VnTime" w:cs="Times New Roman"/>
      <w:i/>
      <w:color w:val="FF0000"/>
      <w:sz w:val="26"/>
      <w:szCs w:val="20"/>
    </w:rPr>
  </w:style>
  <w:style w:type="paragraph" w:styleId="BodyText">
    <w:name w:val="Body Text"/>
    <w:basedOn w:val="Normal"/>
    <w:link w:val="BodyTextChar"/>
    <w:rsid w:val="00D06914"/>
    <w:rPr>
      <w:rFonts w:ascii=".VnTime" w:eastAsia="Times New Roman" w:hAnsi=".VnTime"/>
      <w:i/>
      <w:color w:val="008000"/>
      <w:szCs w:val="20"/>
      <w:lang w:eastAsia="en-US"/>
    </w:rPr>
  </w:style>
  <w:style w:type="character" w:customStyle="1" w:styleId="BodyTextChar">
    <w:name w:val="Body Text Char"/>
    <w:basedOn w:val="DefaultParagraphFont"/>
    <w:link w:val="BodyText"/>
    <w:rsid w:val="00D06914"/>
    <w:rPr>
      <w:rFonts w:ascii=".VnTime" w:eastAsia="Times New Roman" w:hAnsi=".VnTime" w:cs="Times New Roman"/>
      <w:i/>
      <w:color w:val="008000"/>
      <w:sz w:val="24"/>
      <w:szCs w:val="20"/>
    </w:rPr>
  </w:style>
  <w:style w:type="paragraph" w:styleId="BodyText2">
    <w:name w:val="Body Text 2"/>
    <w:basedOn w:val="Normal"/>
    <w:link w:val="BodyText2Char"/>
    <w:rsid w:val="00D06914"/>
    <w:pPr>
      <w:jc w:val="center"/>
    </w:pPr>
    <w:rPr>
      <w:rFonts w:ascii=".VnTime" w:eastAsia="Times New Roman" w:hAnsi=".VnTime"/>
      <w:b/>
      <w:bCs/>
      <w:sz w:val="26"/>
      <w:lang w:eastAsia="en-US"/>
    </w:rPr>
  </w:style>
  <w:style w:type="character" w:customStyle="1" w:styleId="BodyText2Char">
    <w:name w:val="Body Text 2 Char"/>
    <w:basedOn w:val="DefaultParagraphFont"/>
    <w:link w:val="BodyText2"/>
    <w:rsid w:val="00D06914"/>
    <w:rPr>
      <w:rFonts w:ascii=".VnTime" w:eastAsia="Times New Roman" w:hAnsi=".VnTime" w:cs="Times New Roman"/>
      <w:b/>
      <w:bCs/>
      <w:sz w:val="26"/>
      <w:szCs w:val="24"/>
    </w:rPr>
  </w:style>
  <w:style w:type="paragraph" w:styleId="Footer">
    <w:name w:val="footer"/>
    <w:basedOn w:val="Normal"/>
    <w:link w:val="FooterChar"/>
    <w:rsid w:val="00D06914"/>
    <w:pPr>
      <w:tabs>
        <w:tab w:val="center" w:pos="4320"/>
        <w:tab w:val="right" w:pos="8640"/>
      </w:tabs>
    </w:pPr>
    <w:rPr>
      <w:rFonts w:ascii=".VnTime" w:eastAsia="Times New Roman" w:hAnsi=".VnTime"/>
      <w:sz w:val="28"/>
      <w:lang w:eastAsia="en-US"/>
    </w:rPr>
  </w:style>
  <w:style w:type="character" w:customStyle="1" w:styleId="FooterChar">
    <w:name w:val="Footer Char"/>
    <w:basedOn w:val="DefaultParagraphFont"/>
    <w:link w:val="Footer"/>
    <w:rsid w:val="00D06914"/>
    <w:rPr>
      <w:rFonts w:ascii=".VnTime" w:eastAsia="Times New Roman" w:hAnsi=".VnTime" w:cs="Times New Roman"/>
      <w:szCs w:val="24"/>
    </w:rPr>
  </w:style>
  <w:style w:type="character" w:styleId="PageNumber">
    <w:name w:val="page number"/>
    <w:basedOn w:val="DefaultParagraphFont"/>
    <w:rsid w:val="00D06914"/>
  </w:style>
  <w:style w:type="paragraph" w:styleId="NormalWeb">
    <w:name w:val="Normal (Web)"/>
    <w:basedOn w:val="Normal"/>
    <w:rsid w:val="00D06914"/>
    <w:pPr>
      <w:spacing w:before="100" w:beforeAutospacing="1" w:after="100" w:afterAutospacing="1"/>
    </w:pPr>
    <w:rPr>
      <w:rFonts w:eastAsia="Times New Roman"/>
      <w:lang w:val="vi-VN" w:eastAsia="vi-VN"/>
    </w:rPr>
  </w:style>
  <w:style w:type="paragraph" w:styleId="ListParagraph">
    <w:name w:val="List Paragraph"/>
    <w:basedOn w:val="Normal"/>
    <w:uiPriority w:val="34"/>
    <w:qFormat/>
    <w:rsid w:val="00087501"/>
    <w:pPr>
      <w:ind w:left="720"/>
      <w:contextualSpacing/>
    </w:pPr>
  </w:style>
  <w:style w:type="paragraph" w:styleId="BalloonText">
    <w:name w:val="Balloon Text"/>
    <w:basedOn w:val="Normal"/>
    <w:link w:val="BalloonTextChar"/>
    <w:uiPriority w:val="99"/>
    <w:semiHidden/>
    <w:unhideWhenUsed/>
    <w:rsid w:val="006B4D85"/>
    <w:rPr>
      <w:rFonts w:ascii="Tahoma" w:hAnsi="Tahoma" w:cs="Tahoma"/>
      <w:sz w:val="16"/>
      <w:szCs w:val="16"/>
    </w:rPr>
  </w:style>
  <w:style w:type="character" w:customStyle="1" w:styleId="BalloonTextChar">
    <w:name w:val="Balloon Text Char"/>
    <w:basedOn w:val="DefaultParagraphFont"/>
    <w:link w:val="BalloonText"/>
    <w:uiPriority w:val="99"/>
    <w:semiHidden/>
    <w:rsid w:val="006B4D8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quyet-01-2019-nq-hdnd-che-do-ho-tro-thoi-viec-do-sap-xep-to-chuc-bo-may-cap-xa-long-an-409519.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ao-dong-tien-luong/nghi-quyet-01-2019-nq-hdnd-che-do-ho-tro-thoi-viec-do-sap-xep-to-chuc-bo-may-cap-xa-long-an-409519.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lao-dong-tien-luong/nghi-quyet-01-2019-nq-hdnd-che-do-ho-tro-thoi-viec-do-sap-xep-to-chuc-bo-may-cap-xa-long-an-409519.aspx" TargetMode="External"/><Relationship Id="rId4" Type="http://schemas.openxmlformats.org/officeDocument/2006/relationships/settings" Target="settings.xml"/><Relationship Id="rId9" Type="http://schemas.openxmlformats.org/officeDocument/2006/relationships/hyperlink" Target="https://thuvienphapluat.vn/van-ban/bo-may-hanh-chinh/nghi-quyet-158-2010-nq-hdnd-chuc-danh-so-luong-che-do-chinh-sach-11632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C401-2CA7-4947-AD7E-6E8484D6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phuoc thanh</cp:lastModifiedBy>
  <cp:revision>237</cp:revision>
  <cp:lastPrinted>2019-11-29T01:58:00Z</cp:lastPrinted>
  <dcterms:created xsi:type="dcterms:W3CDTF">2019-10-22T02:06:00Z</dcterms:created>
  <dcterms:modified xsi:type="dcterms:W3CDTF">2020-02-12T09:25:00Z</dcterms:modified>
</cp:coreProperties>
</file>