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37"/>
        <w:gridCol w:w="5735"/>
      </w:tblGrid>
      <w:tr w:rsidR="00BE76A4" w:rsidRPr="00BF40BF" w:rsidTr="007F6BEB">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7F6BEB">
            <w:pPr>
              <w:jc w:val="center"/>
              <w:rPr>
                <w:sz w:val="26"/>
                <w:szCs w:val="26"/>
              </w:rPr>
            </w:pPr>
            <w:r w:rsidRPr="00BF40BF">
              <w:rPr>
                <w:b/>
                <w:bCs/>
                <w:noProof/>
                <w:sz w:val="26"/>
                <w:szCs w:val="26"/>
                <w:lang w:val="en-US" w:eastAsia="en-US"/>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433705</wp:posOffset>
                      </wp:positionV>
                      <wp:extent cx="702310" cy="0"/>
                      <wp:effectExtent l="13335" t="13335" r="825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14BDC" id="_x0000_t32" coordsize="21600,21600" o:spt="32" o:oned="t" path="m,l21600,21600e" filled="f">
                      <v:path arrowok="t" fillok="f" o:connecttype="none"/>
                      <o:lock v:ext="edit" shapetype="t"/>
                    </v:shapetype>
                    <v:shape id="Straight Arrow Connector 8" o:spid="_x0000_s1026" type="#_x0000_t32" style="position:absolute;margin-left:54pt;margin-top:34.15pt;width:55.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wXtJAIAAEk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"/>
                  </w:pict>
                </mc:Fallback>
              </mc:AlternateContent>
            </w:r>
            <w:r w:rsidRPr="00BF40BF">
              <w:rPr>
                <w:b/>
                <w:bCs/>
                <w:sz w:val="26"/>
                <w:szCs w:val="26"/>
              </w:rPr>
              <w:t>HỘI ĐỒNG NHÂN DÂN</w:t>
            </w:r>
            <w:r w:rsidRPr="00BF40BF">
              <w:rPr>
                <w:b/>
                <w:bCs/>
                <w:sz w:val="26"/>
                <w:szCs w:val="26"/>
              </w:rPr>
              <w:br/>
              <w:t>TỈNH QUẢNG TRỊ</w:t>
            </w:r>
            <w:r w:rsidRPr="00BF40BF">
              <w:rPr>
                <w:b/>
                <w:bCs/>
                <w:sz w:val="26"/>
                <w:szCs w:val="26"/>
              </w:rPr>
              <w:br/>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7F6BEB">
            <w:pPr>
              <w:jc w:val="center"/>
              <w:rPr>
                <w:sz w:val="26"/>
                <w:szCs w:val="26"/>
              </w:rPr>
            </w:pPr>
            <w:r w:rsidRPr="00BF40BF">
              <w:rPr>
                <w:b/>
                <w:bCs/>
                <w:noProof/>
                <w:sz w:val="26"/>
                <w:szCs w:val="26"/>
                <w:lang w:val="en-US" w:eastAsia="en-US"/>
              </w:rPr>
              <mc:AlternateContent>
                <mc:Choice Requires="wps">
                  <w:drawing>
                    <wp:anchor distT="0" distB="0" distL="114300" distR="114300" simplePos="0" relativeHeight="251664384" behindDoc="0" locked="0" layoutInCell="1" allowOverlap="1">
                      <wp:simplePos x="0" y="0"/>
                      <wp:positionH relativeFrom="column">
                        <wp:posOffset>770255</wp:posOffset>
                      </wp:positionH>
                      <wp:positionV relativeFrom="paragraph">
                        <wp:posOffset>418465</wp:posOffset>
                      </wp:positionV>
                      <wp:extent cx="1979930" cy="0"/>
                      <wp:effectExtent l="8255" t="7620" r="1206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00754" id="Straight Arrow Connector 7" o:spid="_x0000_s1026" type="#_x0000_t32" style="position:absolute;margin-left:60.65pt;margin-top:32.95pt;width:155.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mXJQ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"/>
                  </w:pict>
                </mc:Fallback>
              </mc:AlternateContent>
            </w:r>
            <w:r w:rsidRPr="00BF40BF">
              <w:rPr>
                <w:b/>
                <w:bCs/>
                <w:sz w:val="26"/>
                <w:szCs w:val="26"/>
              </w:rPr>
              <w:t>CỘNG HÒA XÃ HỘI CHỦ NGHĨA VIỆT NAM</w:t>
            </w:r>
            <w:r w:rsidRPr="00BF40BF">
              <w:rPr>
                <w:b/>
                <w:bCs/>
                <w:sz w:val="26"/>
                <w:szCs w:val="26"/>
              </w:rPr>
              <w:br/>
              <w:t xml:space="preserve">Độc lập - Tự do - Hạnh phúc </w:t>
            </w:r>
            <w:r w:rsidRPr="00BF40BF">
              <w:rPr>
                <w:b/>
                <w:bCs/>
                <w:sz w:val="26"/>
                <w:szCs w:val="26"/>
              </w:rPr>
              <w:br/>
            </w: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369"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7F6BEB">
            <w:pPr>
              <w:jc w:val="center"/>
              <w:rPr>
                <w:sz w:val="26"/>
                <w:szCs w:val="26"/>
              </w:rPr>
            </w:pPr>
            <w:r w:rsidRPr="00BF40BF">
              <w:rPr>
                <w:sz w:val="26"/>
                <w:szCs w:val="26"/>
              </w:rPr>
              <w:t xml:space="preserve">Số: </w:t>
            </w:r>
            <w:r w:rsidRPr="00BF40BF">
              <w:rPr>
                <w:sz w:val="26"/>
                <w:szCs w:val="26"/>
                <w:lang w:val="en-US"/>
              </w:rPr>
              <w:t xml:space="preserve"> </w:t>
            </w:r>
            <w:r w:rsidR="00CA1357">
              <w:rPr>
                <w:sz w:val="26"/>
                <w:szCs w:val="26"/>
                <w:lang w:val="en-US"/>
              </w:rPr>
              <w:t xml:space="preserve"> </w:t>
            </w:r>
            <w:r w:rsidRPr="00BF40BF">
              <w:rPr>
                <w:sz w:val="26"/>
                <w:szCs w:val="26"/>
                <w:lang w:val="en-US"/>
              </w:rPr>
              <w:t xml:space="preserve">   </w:t>
            </w:r>
            <w:r w:rsidRPr="00BF40BF">
              <w:rPr>
                <w:sz w:val="26"/>
                <w:szCs w:val="26"/>
              </w:rPr>
              <w:t>/20</w:t>
            </w:r>
            <w:r w:rsidRPr="00BF40BF">
              <w:rPr>
                <w:sz w:val="26"/>
                <w:szCs w:val="26"/>
                <w:lang w:val="en-US"/>
              </w:rPr>
              <w:t>21</w:t>
            </w:r>
            <w:r w:rsidRPr="00BF40BF">
              <w:rPr>
                <w:sz w:val="26"/>
                <w:szCs w:val="26"/>
              </w:rPr>
              <w:t>/NQ-HĐND</w:t>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7F6BEB">
            <w:pPr>
              <w:spacing w:after="120"/>
              <w:jc w:val="center"/>
              <w:rPr>
                <w:sz w:val="26"/>
                <w:szCs w:val="26"/>
                <w:lang w:val="en-US"/>
              </w:rPr>
            </w:pPr>
            <w:r w:rsidRPr="00BF40BF">
              <w:rPr>
                <w:i/>
                <w:iCs/>
                <w:sz w:val="28"/>
                <w:szCs w:val="26"/>
              </w:rPr>
              <w:t>Quảng Trị, ngày</w:t>
            </w:r>
            <w:r w:rsidRPr="00BF40BF">
              <w:rPr>
                <w:i/>
                <w:iCs/>
                <w:sz w:val="28"/>
                <w:szCs w:val="26"/>
                <w:lang w:val="en-US"/>
              </w:rPr>
              <w:t xml:space="preserve"> </w:t>
            </w:r>
            <w:r w:rsidRPr="00BF40BF">
              <w:rPr>
                <w:i/>
                <w:iCs/>
                <w:sz w:val="28"/>
                <w:szCs w:val="26"/>
              </w:rPr>
              <w:t xml:space="preserve"> </w:t>
            </w:r>
            <w:r w:rsidRPr="00BF40BF">
              <w:rPr>
                <w:i/>
                <w:iCs/>
                <w:sz w:val="28"/>
                <w:szCs w:val="26"/>
                <w:lang w:val="en-US"/>
              </w:rPr>
              <w:t xml:space="preserve">    </w:t>
            </w:r>
            <w:r w:rsidRPr="00BF40BF">
              <w:rPr>
                <w:i/>
                <w:iCs/>
                <w:sz w:val="28"/>
                <w:szCs w:val="26"/>
              </w:rPr>
              <w:t xml:space="preserve"> tháng </w:t>
            </w:r>
            <w:r w:rsidRPr="00BF40BF">
              <w:rPr>
                <w:i/>
                <w:iCs/>
                <w:sz w:val="28"/>
                <w:szCs w:val="26"/>
                <w:lang w:val="en-US"/>
              </w:rPr>
              <w:t xml:space="preserve">    </w:t>
            </w:r>
            <w:r w:rsidRPr="00BF40BF">
              <w:rPr>
                <w:i/>
                <w:iCs/>
                <w:sz w:val="28"/>
                <w:szCs w:val="26"/>
              </w:rPr>
              <w:t xml:space="preserve"> </w:t>
            </w:r>
            <w:r w:rsidRPr="00BF40BF">
              <w:rPr>
                <w:i/>
                <w:iCs/>
                <w:sz w:val="28"/>
                <w:szCs w:val="26"/>
                <w:lang w:val="en-US"/>
              </w:rPr>
              <w:t xml:space="preserve"> </w:t>
            </w:r>
            <w:r w:rsidRPr="00BF40BF">
              <w:rPr>
                <w:i/>
                <w:iCs/>
                <w:sz w:val="28"/>
                <w:szCs w:val="26"/>
              </w:rPr>
              <w:t>năm 20</w:t>
            </w:r>
            <w:r w:rsidRPr="00BF40BF">
              <w:rPr>
                <w:i/>
                <w:iCs/>
                <w:sz w:val="28"/>
                <w:szCs w:val="26"/>
                <w:lang w:val="en-US"/>
              </w:rPr>
              <w:t>21</w:t>
            </w:r>
          </w:p>
        </w:tc>
      </w:tr>
    </w:tbl>
    <w:p w:rsidR="00BE76A4" w:rsidRPr="00BF40BF" w:rsidRDefault="00BE76A4" w:rsidP="00BE76A4">
      <w:pPr>
        <w:spacing w:after="120"/>
        <w:rPr>
          <w:color w:val="FF0000"/>
        </w:rPr>
      </w:pPr>
      <w:r w:rsidRPr="00BF40BF">
        <w:rPr>
          <w:noProof/>
          <w:color w:val="FF0000"/>
          <w:lang w:val="en-US" w:eastAsia="en-US"/>
        </w:rPr>
        <mc:AlternateContent>
          <mc:Choice Requires="wps">
            <w:drawing>
              <wp:anchor distT="0" distB="0" distL="114300" distR="114300" simplePos="0" relativeHeight="251659264" behindDoc="0" locked="0" layoutInCell="1" allowOverlap="1">
                <wp:simplePos x="0" y="0"/>
                <wp:positionH relativeFrom="column">
                  <wp:posOffset>485267</wp:posOffset>
                </wp:positionH>
                <wp:positionV relativeFrom="paragraph">
                  <wp:posOffset>90069</wp:posOffset>
                </wp:positionV>
                <wp:extent cx="1119225" cy="460858"/>
                <wp:effectExtent l="0" t="0" r="24130" b="158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225" cy="460858"/>
                        </a:xfrm>
                        <a:prstGeom prst="rect">
                          <a:avLst/>
                        </a:prstGeom>
                        <a:solidFill>
                          <a:srgbClr val="FFFFFF"/>
                        </a:solidFill>
                        <a:ln w="9525">
                          <a:solidFill>
                            <a:srgbClr val="000000"/>
                          </a:solidFill>
                          <a:miter lim="800000"/>
                          <a:headEnd/>
                          <a:tailEnd/>
                        </a:ln>
                      </wps:spPr>
                      <wps:txbx>
                        <w:txbxContent>
                          <w:p w:rsidR="00604A2C" w:rsidRPr="00B978DD" w:rsidRDefault="00600058" w:rsidP="00BE76A4">
                            <w:pPr>
                              <w:jc w:val="center"/>
                              <w:rPr>
                                <w:b/>
                                <w:color w:val="FF0000"/>
                                <w:lang w:val="en-US"/>
                              </w:rPr>
                            </w:pPr>
                            <w:r>
                              <w:rPr>
                                <w:b/>
                                <w:color w:val="FF0000"/>
                                <w:lang w:val="en-U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2pt;margin-top:7.1pt;width:88.1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">
                <v:textbox>
                  <w:txbxContent>
                    <w:p w:rsidR="00604A2C" w:rsidRPr="00B978DD" w:rsidRDefault="00600058" w:rsidP="00BE76A4">
                      <w:pPr>
                        <w:jc w:val="center"/>
                        <w:rPr>
                          <w:b/>
                          <w:color w:val="FF0000"/>
                          <w:lang w:val="en-US"/>
                        </w:rPr>
                      </w:pPr>
                      <w:r>
                        <w:rPr>
                          <w:b/>
                          <w:color w:val="FF0000"/>
                          <w:lang w:val="en-US"/>
                        </w:rPr>
                        <w:t>DỰ THẢO</w:t>
                      </w:r>
                    </w:p>
                  </w:txbxContent>
                </v:textbox>
              </v:shape>
            </w:pict>
          </mc:Fallback>
        </mc:AlternateContent>
      </w:r>
      <w:r w:rsidRPr="00BF40BF">
        <w:rPr>
          <w:color w:val="FF0000"/>
        </w:rPr>
        <w:t> </w:t>
      </w:r>
    </w:p>
    <w:p w:rsidR="00E107A1" w:rsidRDefault="00E107A1" w:rsidP="00BE76A4">
      <w:pPr>
        <w:spacing w:after="120"/>
        <w:jc w:val="center"/>
        <w:rPr>
          <w:b/>
          <w:bCs/>
          <w:color w:val="FF0000"/>
        </w:rPr>
      </w:pPr>
      <w:bookmarkStart w:id="0" w:name="loai_1"/>
    </w:p>
    <w:p w:rsidR="00BE76A4" w:rsidRPr="00BF40BF" w:rsidRDefault="00BE76A4" w:rsidP="00E107A1">
      <w:pPr>
        <w:spacing w:after="120"/>
        <w:jc w:val="center"/>
        <w:rPr>
          <w:b/>
          <w:bCs/>
          <w:sz w:val="28"/>
          <w:szCs w:val="28"/>
        </w:rPr>
      </w:pPr>
      <w:r w:rsidRPr="00BF40BF">
        <w:rPr>
          <w:b/>
          <w:bCs/>
          <w:sz w:val="28"/>
          <w:szCs w:val="28"/>
        </w:rPr>
        <w:t>NGHỊ QUYẾT</w:t>
      </w:r>
      <w:bookmarkEnd w:id="0"/>
    </w:p>
    <w:p w:rsidR="00BE76A4" w:rsidRPr="00BF40BF" w:rsidRDefault="00BE76A4" w:rsidP="00BE76A4">
      <w:pPr>
        <w:ind w:left="851" w:right="850"/>
        <w:jc w:val="center"/>
        <w:rPr>
          <w:b/>
          <w:sz w:val="28"/>
          <w:szCs w:val="28"/>
          <w:lang w:val="en-US"/>
        </w:rPr>
      </w:pPr>
      <w:r w:rsidRPr="00BF40BF">
        <w:rPr>
          <w:b/>
          <w:sz w:val="28"/>
          <w:szCs w:val="28"/>
          <w:lang w:val="en-US"/>
        </w:rPr>
        <w:t>Quy định định mức phân bổ dự toán chi thường xuyên ngân sách địa phương năm 2022 tỉnh Quảng Trị</w:t>
      </w:r>
    </w:p>
    <w:p w:rsidR="00BE76A4" w:rsidRPr="00BF40BF" w:rsidRDefault="00BE76A4" w:rsidP="00BE76A4">
      <w:pPr>
        <w:spacing w:after="120"/>
        <w:jc w:val="center"/>
        <w:rPr>
          <w:b/>
          <w:bCs/>
        </w:rPr>
      </w:pPr>
      <w:r w:rsidRPr="00BF40BF">
        <w:rPr>
          <w:b/>
          <w:noProof/>
          <w:sz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2005965</wp:posOffset>
                </wp:positionH>
                <wp:positionV relativeFrom="paragraph">
                  <wp:posOffset>53975</wp:posOffset>
                </wp:positionV>
                <wp:extent cx="1746885" cy="0"/>
                <wp:effectExtent l="9525" t="9525" r="571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BB454" id="Straight Arrow Connector 5" o:spid="_x0000_s1026" type="#_x0000_t32" style="position:absolute;margin-left:157.95pt;margin-top:4.25pt;width:13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Y/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"/>
            </w:pict>
          </mc:Fallback>
        </mc:AlternateContent>
      </w:r>
    </w:p>
    <w:p w:rsidR="00BE76A4" w:rsidRPr="00BF40BF" w:rsidRDefault="00BE76A4" w:rsidP="00BE76A4">
      <w:pPr>
        <w:spacing w:after="120"/>
        <w:jc w:val="center"/>
        <w:rPr>
          <w:sz w:val="28"/>
          <w:lang w:val="en-US"/>
        </w:rPr>
      </w:pPr>
      <w:r w:rsidRPr="00BF40BF">
        <w:rPr>
          <w:b/>
          <w:bCs/>
          <w:sz w:val="28"/>
        </w:rPr>
        <w:t>HỘI ĐỒNG NHÂN DÂN TỈNH QUẢNG TRỊ</w:t>
      </w:r>
      <w:r w:rsidRPr="00BF40BF">
        <w:rPr>
          <w:b/>
          <w:bCs/>
          <w:sz w:val="28"/>
        </w:rPr>
        <w:br/>
        <w:t>KHÓA VII</w:t>
      </w:r>
      <w:r w:rsidRPr="00BF40BF">
        <w:rPr>
          <w:b/>
          <w:bCs/>
          <w:sz w:val="28"/>
          <w:lang w:val="en-US"/>
        </w:rPr>
        <w:t>I</w:t>
      </w:r>
      <w:r w:rsidRPr="00BF40BF">
        <w:rPr>
          <w:b/>
          <w:bCs/>
          <w:sz w:val="28"/>
        </w:rPr>
        <w:t xml:space="preserve">, KỲ HỌP THỨ </w:t>
      </w:r>
      <w:r w:rsidRPr="00BF40BF">
        <w:rPr>
          <w:b/>
          <w:bCs/>
          <w:sz w:val="28"/>
          <w:lang w:val="en-US"/>
        </w:rPr>
        <w:t>…</w:t>
      </w:r>
    </w:p>
    <w:p w:rsidR="00E107A1" w:rsidRDefault="00E107A1" w:rsidP="00BE76A4">
      <w:pPr>
        <w:ind w:firstLine="720"/>
        <w:jc w:val="both"/>
        <w:rPr>
          <w:bCs/>
          <w:i/>
          <w:sz w:val="28"/>
          <w:szCs w:val="28"/>
          <w:lang w:val="en-US"/>
        </w:rPr>
      </w:pPr>
    </w:p>
    <w:p w:rsidR="00BE76A4" w:rsidRPr="00BF40BF" w:rsidRDefault="00BE76A4" w:rsidP="00E107A1">
      <w:pPr>
        <w:spacing w:before="120" w:after="120"/>
        <w:ind w:firstLine="720"/>
        <w:jc w:val="both"/>
        <w:rPr>
          <w:bCs/>
          <w:i/>
          <w:sz w:val="28"/>
          <w:szCs w:val="28"/>
          <w:lang w:val="en-US"/>
        </w:rPr>
      </w:pPr>
      <w:r w:rsidRPr="00BF40BF">
        <w:rPr>
          <w:bCs/>
          <w:i/>
          <w:sz w:val="28"/>
          <w:szCs w:val="28"/>
          <w:lang w:val="en-US"/>
        </w:rPr>
        <w:t xml:space="preserve">Căn cứ Luật Tổ chức chính quyền địa phương năm 2015; Luật sửa đổi, bổ sung một số điều của Luật Tổ chức Chính phủ và Luật Tổ chức chính quyền địa phương, ngày 22/11/2019; </w:t>
      </w:r>
    </w:p>
    <w:p w:rsidR="00BE76A4" w:rsidRPr="00BF40BF" w:rsidRDefault="00BE76A4" w:rsidP="00E107A1">
      <w:pPr>
        <w:spacing w:before="120" w:after="120"/>
        <w:ind w:firstLine="720"/>
        <w:jc w:val="both"/>
        <w:rPr>
          <w:bCs/>
          <w:i/>
          <w:spacing w:val="-3"/>
          <w:sz w:val="28"/>
          <w:lang w:val="en-US"/>
        </w:rPr>
      </w:pPr>
      <w:r w:rsidRPr="00BF40BF">
        <w:rPr>
          <w:bCs/>
          <w:i/>
          <w:spacing w:val="-3"/>
          <w:sz w:val="28"/>
          <w:lang w:val="en-US"/>
        </w:rPr>
        <w:t>Căn cứ Luật Ban hành văn bản quy phạm pháp luật năm 2015; Luật sửa đổi, bổ sung một số điều của Luật Ban hành văn bản quy phạm pháp luật, ngày 18/6/2020;</w:t>
      </w:r>
    </w:p>
    <w:p w:rsidR="00BE76A4" w:rsidRPr="00BF40BF" w:rsidRDefault="00BE76A4" w:rsidP="00E107A1">
      <w:pPr>
        <w:spacing w:before="120" w:after="120"/>
        <w:ind w:firstLine="720"/>
        <w:jc w:val="both"/>
        <w:rPr>
          <w:bCs/>
          <w:i/>
          <w:sz w:val="28"/>
          <w:szCs w:val="28"/>
          <w:lang w:val="en-US"/>
        </w:rPr>
      </w:pPr>
      <w:r w:rsidRPr="00BF40BF">
        <w:rPr>
          <w:bCs/>
          <w:i/>
          <w:sz w:val="28"/>
          <w:szCs w:val="28"/>
          <w:lang w:val="en-US"/>
        </w:rPr>
        <w:t>Căn cứ Luật Ngân sách nhà nước năm 2015;</w:t>
      </w:r>
    </w:p>
    <w:p w:rsidR="00BE76A4" w:rsidRPr="00BF40BF" w:rsidRDefault="00BE76A4" w:rsidP="00E107A1">
      <w:pPr>
        <w:spacing w:before="120" w:after="120"/>
        <w:ind w:firstLine="720"/>
        <w:jc w:val="both"/>
        <w:rPr>
          <w:bCs/>
          <w:i/>
          <w:spacing w:val="-4"/>
          <w:sz w:val="28"/>
          <w:lang w:val="en-US"/>
        </w:rPr>
      </w:pPr>
      <w:r w:rsidRPr="00BF40BF">
        <w:rPr>
          <w:bCs/>
          <w:i/>
          <w:spacing w:val="-4"/>
          <w:sz w:val="28"/>
          <w:lang w:val="en-US"/>
        </w:rPr>
        <w:t>Căn cứ Quyết định số …/2021/QĐ-TTg ngày … tháng … năm 2021 của Thủ tướng Chính phủ về việc ban hành định mức phân bổ dự toán chi thường xuyên ngân sách nhà nước năm 2022;</w:t>
      </w:r>
    </w:p>
    <w:p w:rsidR="00BE76A4" w:rsidRPr="00BF40BF" w:rsidRDefault="00BE76A4" w:rsidP="00E107A1">
      <w:pPr>
        <w:spacing w:before="120" w:after="120"/>
        <w:ind w:firstLine="720"/>
        <w:jc w:val="both"/>
        <w:rPr>
          <w:bCs/>
          <w:i/>
          <w:spacing w:val="-4"/>
          <w:sz w:val="28"/>
          <w:szCs w:val="28"/>
          <w:lang w:val="en-US"/>
        </w:rPr>
      </w:pPr>
      <w:r w:rsidRPr="00BF40BF">
        <w:rPr>
          <w:bCs/>
          <w:i/>
          <w:spacing w:val="-4"/>
          <w:sz w:val="28"/>
          <w:szCs w:val="28"/>
          <w:lang w:val="en-US"/>
        </w:rPr>
        <w:t>Xét Tờ trình số …. /TTr-UBND ngày …/…/2021 của UBND tỉnh Quảng Trị về việc ban hành Quy định định mức phân bổ dự toán chi thường xuyên ngân sách địa phương năm 2022</w:t>
      </w:r>
      <w:r w:rsidR="009E2A70">
        <w:rPr>
          <w:bCs/>
          <w:i/>
          <w:spacing w:val="-4"/>
          <w:sz w:val="28"/>
          <w:szCs w:val="28"/>
          <w:lang w:val="en-US"/>
        </w:rPr>
        <w:t xml:space="preserve"> </w:t>
      </w:r>
      <w:r w:rsidRPr="00BF40BF">
        <w:rPr>
          <w:bCs/>
          <w:i/>
          <w:spacing w:val="-4"/>
          <w:sz w:val="28"/>
          <w:szCs w:val="28"/>
          <w:lang w:val="en-US"/>
        </w:rPr>
        <w:t xml:space="preserve">tỉnh Quảng Trị; Báo cáo thẩm tra số …. /BC-KTNS ngày …/…/2021 của Ban Kinh tế - Ngân sách HĐND tỉnh; </w:t>
      </w:r>
      <w:r w:rsidR="00C4698B">
        <w:rPr>
          <w:bCs/>
          <w:i/>
          <w:spacing w:val="-4"/>
          <w:sz w:val="28"/>
          <w:szCs w:val="28"/>
          <w:lang w:val="en-US"/>
        </w:rPr>
        <w:t>Ý</w:t>
      </w:r>
      <w:r w:rsidRPr="00BF40BF">
        <w:rPr>
          <w:bCs/>
          <w:i/>
          <w:spacing w:val="-4"/>
          <w:sz w:val="28"/>
          <w:szCs w:val="28"/>
          <w:lang w:val="en-US"/>
        </w:rPr>
        <w:t xml:space="preserve"> kiến thảo luận của đại biểu HĐND tỉnh tại kỳ họp,</w:t>
      </w:r>
    </w:p>
    <w:p w:rsidR="00BE76A4" w:rsidRPr="00023701" w:rsidRDefault="00BE76A4" w:rsidP="00BE76A4">
      <w:pPr>
        <w:spacing w:after="120"/>
        <w:jc w:val="center"/>
        <w:rPr>
          <w:sz w:val="28"/>
          <w:szCs w:val="28"/>
        </w:rPr>
      </w:pPr>
      <w:r w:rsidRPr="00023701">
        <w:rPr>
          <w:b/>
          <w:bCs/>
          <w:sz w:val="28"/>
          <w:szCs w:val="28"/>
        </w:rPr>
        <w:t>QUYẾT NGHỊ:</w:t>
      </w:r>
    </w:p>
    <w:p w:rsidR="00BE76A4" w:rsidRPr="00023701" w:rsidRDefault="00BE76A4" w:rsidP="00E107A1">
      <w:pPr>
        <w:spacing w:before="120" w:after="120"/>
        <w:ind w:firstLine="720"/>
        <w:rPr>
          <w:sz w:val="28"/>
          <w:lang w:val="en-US"/>
        </w:rPr>
      </w:pPr>
      <w:bookmarkStart w:id="1" w:name="dieu_1"/>
      <w:r w:rsidRPr="00023701">
        <w:rPr>
          <w:b/>
          <w:bCs/>
          <w:sz w:val="28"/>
          <w:szCs w:val="28"/>
        </w:rPr>
        <w:t>Điều 1.</w:t>
      </w:r>
      <w:bookmarkEnd w:id="1"/>
      <w:r w:rsidRPr="00023701">
        <w:rPr>
          <w:b/>
          <w:bCs/>
          <w:sz w:val="28"/>
          <w:szCs w:val="28"/>
          <w:lang w:val="en-US"/>
        </w:rPr>
        <w:t xml:space="preserve"> </w:t>
      </w:r>
      <w:bookmarkStart w:id="2" w:name="dieu_1_name"/>
      <w:r w:rsidRPr="00023701">
        <w:rPr>
          <w:sz w:val="28"/>
          <w:szCs w:val="28"/>
        </w:rPr>
        <w:t xml:space="preserve">Ban hành kèm theo Nghị quyết này </w:t>
      </w:r>
      <w:r w:rsidR="00A11507" w:rsidRPr="00023701">
        <w:rPr>
          <w:sz w:val="28"/>
          <w:szCs w:val="28"/>
          <w:lang w:val="en-US"/>
        </w:rPr>
        <w:t>“</w:t>
      </w:r>
      <w:r w:rsidRPr="00023701">
        <w:rPr>
          <w:sz w:val="28"/>
          <w:szCs w:val="28"/>
        </w:rPr>
        <w:t>Quy định định mức phân bổ</w:t>
      </w:r>
      <w:r w:rsidRPr="00023701">
        <w:rPr>
          <w:sz w:val="28"/>
        </w:rPr>
        <w:t xml:space="preserve"> dự toán chi thường xuyên ngân sách địa phương năm 2022</w:t>
      </w:r>
      <w:r w:rsidRPr="00023701">
        <w:rPr>
          <w:sz w:val="28"/>
          <w:lang w:val="en-US"/>
        </w:rPr>
        <w:t xml:space="preserve"> tỉnh Quảng Trị</w:t>
      </w:r>
      <w:r w:rsidR="007B1AE7" w:rsidRPr="00023701">
        <w:rPr>
          <w:sz w:val="28"/>
          <w:lang w:val="en-US"/>
        </w:rPr>
        <w:t>”</w:t>
      </w:r>
      <w:r w:rsidRPr="00023701">
        <w:rPr>
          <w:sz w:val="28"/>
          <w:lang w:val="en-US"/>
        </w:rPr>
        <w:t>.</w:t>
      </w:r>
    </w:p>
    <w:p w:rsidR="00BE76A4" w:rsidRPr="00023701" w:rsidRDefault="00BE76A4" w:rsidP="00E107A1">
      <w:pPr>
        <w:spacing w:before="120" w:after="120"/>
        <w:ind w:left="720"/>
        <w:rPr>
          <w:b/>
          <w:sz w:val="28"/>
          <w:szCs w:val="28"/>
          <w:lang w:val="nl-NL"/>
        </w:rPr>
      </w:pPr>
      <w:bookmarkStart w:id="3" w:name="dieu_2"/>
      <w:bookmarkEnd w:id="2"/>
      <w:r w:rsidRPr="00023701">
        <w:rPr>
          <w:b/>
          <w:bCs/>
          <w:sz w:val="28"/>
          <w:szCs w:val="28"/>
          <w:lang w:val="nl-NL"/>
        </w:rPr>
        <w:t>Điều 2.</w:t>
      </w:r>
      <w:r w:rsidRPr="00023701">
        <w:rPr>
          <w:b/>
          <w:sz w:val="28"/>
          <w:szCs w:val="28"/>
          <w:lang w:val="nl-NL"/>
        </w:rPr>
        <w:t xml:space="preserve"> Tổ chức thực hiện</w:t>
      </w:r>
    </w:p>
    <w:p w:rsidR="00BE76A4" w:rsidRPr="00023701" w:rsidRDefault="00BE76A4" w:rsidP="00E107A1">
      <w:pPr>
        <w:spacing w:before="120" w:after="120"/>
        <w:ind w:firstLine="720"/>
        <w:jc w:val="both"/>
        <w:rPr>
          <w:sz w:val="28"/>
          <w:szCs w:val="28"/>
          <w:lang w:val="en-US"/>
        </w:rPr>
      </w:pPr>
      <w:r w:rsidRPr="00023701">
        <w:rPr>
          <w:sz w:val="28"/>
          <w:szCs w:val="28"/>
          <w:lang w:val="nl-NL"/>
        </w:rPr>
        <w:t xml:space="preserve">1. Giao UBND tỉnh </w:t>
      </w:r>
      <w:r w:rsidRPr="00023701">
        <w:rPr>
          <w:sz w:val="28"/>
          <w:szCs w:val="28"/>
          <w:bdr w:val="none" w:sz="0" w:space="0" w:color="auto" w:frame="1"/>
        </w:rPr>
        <w:t>tổ chức thực hiện Nghị quyết này</w:t>
      </w:r>
      <w:r w:rsidRPr="00023701">
        <w:rPr>
          <w:sz w:val="28"/>
          <w:szCs w:val="28"/>
          <w:bdr w:val="none" w:sz="0" w:space="0" w:color="auto" w:frame="1"/>
          <w:lang w:val="en-US"/>
        </w:rPr>
        <w:t>.</w:t>
      </w:r>
    </w:p>
    <w:p w:rsidR="00BE76A4" w:rsidRPr="00BF40BF" w:rsidRDefault="00BE76A4" w:rsidP="00E107A1">
      <w:pPr>
        <w:spacing w:before="120" w:after="120"/>
        <w:ind w:firstLine="720"/>
        <w:jc w:val="both"/>
        <w:rPr>
          <w:sz w:val="28"/>
          <w:szCs w:val="28"/>
          <w:lang w:val="nl-NL"/>
        </w:rPr>
      </w:pPr>
      <w:r w:rsidRPr="00BF40BF">
        <w:rPr>
          <w:sz w:val="28"/>
          <w:szCs w:val="28"/>
          <w:lang w:val="nl-NL"/>
        </w:rPr>
        <w:t xml:space="preserve">2. </w:t>
      </w:r>
      <w:bookmarkStart w:id="4" w:name="dieu_3_name"/>
      <w:r w:rsidRPr="00BF40BF">
        <w:rPr>
          <w:sz w:val="28"/>
          <w:szCs w:val="28"/>
          <w:lang w:val="nl-NL"/>
        </w:rPr>
        <w:t xml:space="preserve">Thường trực HĐND, các Ban của HĐND tỉnh, đại biểu HĐND tỉnh </w:t>
      </w:r>
      <w:r w:rsidRPr="00BF40BF">
        <w:rPr>
          <w:sz w:val="28"/>
          <w:szCs w:val="28"/>
        </w:rPr>
        <w:t>trong phạm vi nhiệm vụ và quyền hạn của mình</w:t>
      </w:r>
      <w:r w:rsidRPr="00BF40BF">
        <w:rPr>
          <w:sz w:val="28"/>
          <w:szCs w:val="28"/>
          <w:lang w:val="en-US"/>
        </w:rPr>
        <w:t xml:space="preserve">, </w:t>
      </w:r>
      <w:r w:rsidRPr="00BF40BF">
        <w:rPr>
          <w:sz w:val="28"/>
          <w:szCs w:val="28"/>
          <w:lang w:val="nl-NL"/>
        </w:rPr>
        <w:t xml:space="preserve">có trách nhiệm giám sát việc thực hiện Nghị quyết này </w:t>
      </w:r>
      <w:r w:rsidRPr="00BF40BF">
        <w:rPr>
          <w:sz w:val="28"/>
          <w:szCs w:val="28"/>
          <w:bdr w:val="none" w:sz="0" w:space="0" w:color="auto" w:frame="1"/>
        </w:rPr>
        <w:t>theo quy định của pháp luật</w:t>
      </w:r>
      <w:r w:rsidRPr="00BF40BF">
        <w:rPr>
          <w:sz w:val="28"/>
          <w:szCs w:val="28"/>
          <w:lang w:val="nl-NL"/>
        </w:rPr>
        <w:t>.</w:t>
      </w:r>
      <w:bookmarkEnd w:id="4"/>
    </w:p>
    <w:p w:rsidR="00BE76A4" w:rsidRPr="00BF40BF" w:rsidRDefault="00BE76A4" w:rsidP="00E107A1">
      <w:pPr>
        <w:spacing w:before="120" w:after="120"/>
        <w:ind w:firstLine="720"/>
        <w:jc w:val="both"/>
        <w:rPr>
          <w:b/>
          <w:sz w:val="28"/>
          <w:szCs w:val="28"/>
        </w:rPr>
      </w:pPr>
      <w:r w:rsidRPr="00BF40BF">
        <w:rPr>
          <w:b/>
          <w:bCs/>
          <w:sz w:val="28"/>
          <w:szCs w:val="28"/>
          <w:lang w:val="en-US"/>
        </w:rPr>
        <w:t xml:space="preserve">Điều 3. </w:t>
      </w:r>
      <w:r w:rsidRPr="00BF40BF">
        <w:rPr>
          <w:b/>
          <w:sz w:val="28"/>
          <w:szCs w:val="28"/>
        </w:rPr>
        <w:t>Hiệu lực thi hành</w:t>
      </w:r>
    </w:p>
    <w:p w:rsidR="00E107A1" w:rsidRPr="00E107A1" w:rsidRDefault="00BE76A4" w:rsidP="00E107A1">
      <w:pPr>
        <w:spacing w:before="120" w:after="100" w:afterAutospacing="1"/>
        <w:ind w:firstLine="720"/>
        <w:jc w:val="both"/>
        <w:rPr>
          <w:sz w:val="28"/>
          <w:szCs w:val="28"/>
        </w:rPr>
      </w:pPr>
      <w:r w:rsidRPr="00BF40BF">
        <w:rPr>
          <w:sz w:val="28"/>
          <w:szCs w:val="28"/>
        </w:rPr>
        <w:lastRenderedPageBreak/>
        <w:t xml:space="preserve">Nghị quyết này đã được HĐND tỉnh </w:t>
      </w:r>
      <w:r w:rsidRPr="00E107A1">
        <w:rPr>
          <w:sz w:val="28"/>
          <w:szCs w:val="28"/>
        </w:rPr>
        <w:t>Quảng Trị khóa VIII</w:t>
      </w:r>
      <w:r w:rsidRPr="00BF40BF">
        <w:rPr>
          <w:sz w:val="28"/>
          <w:szCs w:val="28"/>
        </w:rPr>
        <w:t xml:space="preserve">, kỳ họp thứ </w:t>
      </w:r>
      <w:r w:rsidRPr="00E107A1">
        <w:rPr>
          <w:sz w:val="28"/>
          <w:szCs w:val="28"/>
        </w:rPr>
        <w:t>…</w:t>
      </w:r>
      <w:r w:rsidRPr="00BF40BF">
        <w:rPr>
          <w:sz w:val="28"/>
          <w:szCs w:val="28"/>
        </w:rPr>
        <w:t xml:space="preserve">     thông qua ngày</w:t>
      </w:r>
      <w:r w:rsidRPr="00E107A1">
        <w:rPr>
          <w:sz w:val="28"/>
          <w:szCs w:val="28"/>
        </w:rPr>
        <w:t xml:space="preserve"> …</w:t>
      </w:r>
      <w:r w:rsidRPr="00BF40BF">
        <w:rPr>
          <w:sz w:val="28"/>
          <w:szCs w:val="28"/>
        </w:rPr>
        <w:t>/</w:t>
      </w:r>
      <w:r w:rsidRPr="00E107A1">
        <w:rPr>
          <w:sz w:val="28"/>
          <w:szCs w:val="28"/>
        </w:rPr>
        <w:t>…</w:t>
      </w:r>
      <w:r w:rsidRPr="00BF40BF">
        <w:rPr>
          <w:sz w:val="28"/>
          <w:szCs w:val="28"/>
        </w:rPr>
        <w:t>/2021</w:t>
      </w:r>
      <w:r w:rsidR="00E107A1" w:rsidRPr="00E107A1">
        <w:rPr>
          <w:sz w:val="28"/>
          <w:szCs w:val="28"/>
        </w:rPr>
        <w:t>; có hiệu lực thi hành từ năm ngân sách 2022 và thời kỳ ổn định ngân sách mới theo quy định của Luật Ngân sách nhà nước./.</w:t>
      </w:r>
    </w:p>
    <w:tbl>
      <w:tblPr>
        <w:tblW w:w="8930"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3685"/>
      </w:tblGrid>
      <w:tr w:rsidR="00BE76A4" w:rsidRPr="00BF40BF" w:rsidTr="007F6BEB">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263B5F">
            <w:pPr>
              <w:spacing w:after="120"/>
            </w:pPr>
            <w:r w:rsidRPr="00BF40BF">
              <w:rPr>
                <w:b/>
                <w:bCs/>
                <w:i/>
                <w:iCs/>
                <w:sz w:val="16"/>
                <w:lang w:val="nl-NL"/>
              </w:rPr>
              <w:t> </w:t>
            </w:r>
          </w:p>
          <w:p w:rsidR="00BE76A4" w:rsidRPr="00BF40BF" w:rsidRDefault="00BE76A4" w:rsidP="00263B5F">
            <w:pPr>
              <w:rPr>
                <w:sz w:val="22"/>
                <w:lang w:val="nl-NL"/>
              </w:rPr>
            </w:pPr>
            <w:r w:rsidRPr="00BF40BF">
              <w:rPr>
                <w:b/>
                <w:bCs/>
                <w:i/>
                <w:iCs/>
                <w:lang w:val="nl-NL"/>
              </w:rPr>
              <w:t>Nơi nhận:</w:t>
            </w:r>
            <w:r w:rsidRPr="00BF40BF">
              <w:rPr>
                <w:b/>
                <w:bCs/>
                <w:i/>
                <w:iCs/>
                <w:lang w:val="nl-NL"/>
              </w:rPr>
              <w:br/>
            </w:r>
            <w:r w:rsidRPr="00BF40BF">
              <w:rPr>
                <w:sz w:val="22"/>
                <w:lang w:val="nl-NL"/>
              </w:rPr>
              <w:t xml:space="preserve">- </w:t>
            </w:r>
            <w:r w:rsidR="00E107A1">
              <w:rPr>
                <w:sz w:val="22"/>
                <w:lang w:val="nl-NL"/>
              </w:rPr>
              <w:t>Ủy ban Thường vụ Quốc hội; Chính phủ;</w:t>
            </w:r>
            <w:r w:rsidRPr="00BF40BF">
              <w:rPr>
                <w:sz w:val="22"/>
                <w:lang w:val="nl-NL"/>
              </w:rPr>
              <w:br/>
              <w:t>- Bộ Tài chính;</w:t>
            </w:r>
            <w:r w:rsidRPr="00BF40BF">
              <w:rPr>
                <w:sz w:val="22"/>
                <w:lang w:val="nl-NL"/>
              </w:rPr>
              <w:br/>
              <w:t>- Cục Kiểm tra văn bản</w:t>
            </w:r>
            <w:r w:rsidR="00E107A1">
              <w:rPr>
                <w:sz w:val="22"/>
                <w:lang w:val="nl-NL"/>
              </w:rPr>
              <w:t xml:space="preserve"> QPPL</w:t>
            </w:r>
            <w:r w:rsidRPr="00BF40BF">
              <w:rPr>
                <w:sz w:val="22"/>
                <w:lang w:val="nl-NL"/>
              </w:rPr>
              <w:t xml:space="preserve"> - Bộ Tư pháp;</w:t>
            </w:r>
            <w:r w:rsidRPr="00BF40BF">
              <w:rPr>
                <w:sz w:val="22"/>
                <w:lang w:val="nl-NL"/>
              </w:rPr>
              <w:br/>
            </w:r>
            <w:r w:rsidRPr="00BF40BF">
              <w:rPr>
                <w:spacing w:val="-10"/>
                <w:sz w:val="22"/>
                <w:lang w:val="nl-NL"/>
              </w:rPr>
              <w:t>- TT Tỉnh ủy, HĐND, UBND, UBMT TQVN tỉnh;</w:t>
            </w:r>
            <w:r w:rsidRPr="00BF40BF">
              <w:rPr>
                <w:sz w:val="22"/>
                <w:lang w:val="nl-NL"/>
              </w:rPr>
              <w:br/>
              <w:t>- Văn phòng: Tỉnh ủy, ĐĐBQH và HĐND, UBND tỉnh;</w:t>
            </w:r>
          </w:p>
          <w:p w:rsidR="00BE76A4" w:rsidRPr="00BF40BF" w:rsidRDefault="00BE76A4" w:rsidP="00263B5F">
            <w:pPr>
              <w:rPr>
                <w:sz w:val="22"/>
                <w:lang w:val="nl-NL"/>
              </w:rPr>
            </w:pPr>
            <w:r w:rsidRPr="00BF40BF">
              <w:rPr>
                <w:sz w:val="22"/>
                <w:lang w:val="nl-NL"/>
              </w:rPr>
              <w:t>- Các Ban HĐND tỉnh, Đại biểu HĐND tỉnh;</w:t>
            </w:r>
          </w:p>
          <w:p w:rsidR="00BE76A4" w:rsidRPr="00BF40BF" w:rsidRDefault="00BE76A4" w:rsidP="00263B5F">
            <w:r w:rsidRPr="00BF40BF">
              <w:rPr>
                <w:sz w:val="22"/>
                <w:lang w:val="nl-NL"/>
              </w:rPr>
              <w:t>- Các cơ quan Trương đóng trên địa bàn tỉnh;</w:t>
            </w:r>
            <w:r w:rsidRPr="00BF40BF">
              <w:rPr>
                <w:sz w:val="22"/>
                <w:lang w:val="nl-NL"/>
              </w:rPr>
              <w:br/>
              <w:t>- Các Sở, ban, ngành, đoàn thể cấp tỉnh;</w:t>
            </w:r>
            <w:r w:rsidRPr="00BF40BF">
              <w:rPr>
                <w:sz w:val="22"/>
                <w:lang w:val="nl-NL"/>
              </w:rPr>
              <w:br/>
              <w:t>- TT HĐND, UBND các huyện, thành phố, thị xã;</w:t>
            </w:r>
            <w:r w:rsidRPr="00BF40BF">
              <w:rPr>
                <w:sz w:val="22"/>
                <w:lang w:val="nl-NL"/>
              </w:rPr>
              <w:br/>
              <w:t>- TT HĐND, UBND các xã, phường, thị trấn;</w:t>
            </w:r>
            <w:r w:rsidRPr="00BF40BF">
              <w:rPr>
                <w:sz w:val="22"/>
                <w:lang w:val="nl-NL"/>
              </w:rPr>
              <w:br/>
              <w:t>- Công báo, Đài PTTH tỉnh và Báo Quảng Trị;</w:t>
            </w:r>
            <w:r w:rsidRPr="00BF40BF">
              <w:rPr>
                <w:sz w:val="22"/>
                <w:lang w:val="nl-NL"/>
              </w:rPr>
              <w:br/>
              <w:t>- Cổng thông tin điện tử HĐND, UBND tỉnh;</w:t>
            </w:r>
            <w:r w:rsidRPr="00BF40BF">
              <w:rPr>
                <w:sz w:val="22"/>
                <w:lang w:val="nl-NL"/>
              </w:rPr>
              <w:br/>
              <w:t>- Lưu: VT.</w:t>
            </w:r>
          </w:p>
        </w:tc>
        <w:tc>
          <w:tcPr>
            <w:tcW w:w="3685"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263B5F">
            <w:pPr>
              <w:jc w:val="center"/>
              <w:rPr>
                <w:b/>
                <w:bCs/>
                <w:sz w:val="28"/>
                <w:szCs w:val="28"/>
                <w:lang w:val="nl-NL"/>
              </w:rPr>
            </w:pPr>
            <w:r w:rsidRPr="00BF40BF">
              <w:rPr>
                <w:b/>
                <w:bCs/>
                <w:sz w:val="28"/>
                <w:lang w:val="nl-NL"/>
              </w:rPr>
              <w:t xml:space="preserve">CHỦ </w:t>
            </w:r>
            <w:r w:rsidRPr="00BF40BF">
              <w:rPr>
                <w:b/>
                <w:bCs/>
                <w:sz w:val="28"/>
                <w:szCs w:val="28"/>
                <w:lang w:val="nl-NL"/>
              </w:rPr>
              <w:t>TỊCH</w:t>
            </w:r>
            <w:r w:rsidRPr="00BF40BF">
              <w:rPr>
                <w:b/>
                <w:bCs/>
                <w:sz w:val="28"/>
                <w:szCs w:val="28"/>
                <w:lang w:val="nl-NL"/>
              </w:rPr>
              <w:br/>
            </w:r>
            <w:r w:rsidRPr="00BF40BF">
              <w:rPr>
                <w:sz w:val="28"/>
                <w:szCs w:val="28"/>
                <w:lang w:val="nl-NL"/>
              </w:rPr>
              <w:br/>
            </w:r>
            <w:r w:rsidRPr="00BF40BF">
              <w:rPr>
                <w:sz w:val="28"/>
                <w:szCs w:val="28"/>
                <w:lang w:val="nl-NL"/>
              </w:rPr>
              <w:br/>
            </w:r>
            <w:r w:rsidRPr="00BF40BF">
              <w:rPr>
                <w:sz w:val="28"/>
                <w:szCs w:val="28"/>
                <w:lang w:val="nl-NL"/>
              </w:rPr>
              <w:br/>
            </w:r>
            <w:r w:rsidRPr="00BF40BF">
              <w:rPr>
                <w:sz w:val="28"/>
                <w:szCs w:val="28"/>
                <w:lang w:val="nl-NL"/>
              </w:rPr>
              <w:br/>
            </w:r>
          </w:p>
          <w:p w:rsidR="00BE76A4" w:rsidRPr="00BF40BF" w:rsidRDefault="00BE76A4" w:rsidP="00263B5F">
            <w:pPr>
              <w:jc w:val="center"/>
              <w:rPr>
                <w:b/>
                <w:bCs/>
                <w:sz w:val="28"/>
                <w:szCs w:val="28"/>
                <w:lang w:val="nl-NL"/>
              </w:rPr>
            </w:pPr>
          </w:p>
          <w:p w:rsidR="00BE76A4" w:rsidRPr="00BF40BF" w:rsidRDefault="00BE76A4" w:rsidP="00263B5F">
            <w:pPr>
              <w:jc w:val="center"/>
              <w:rPr>
                <w:b/>
                <w:bCs/>
                <w:sz w:val="28"/>
                <w:szCs w:val="28"/>
                <w:lang w:val="nl-NL"/>
              </w:rPr>
            </w:pPr>
          </w:p>
          <w:p w:rsidR="00BE76A4" w:rsidRPr="00E107A1" w:rsidRDefault="00E107A1" w:rsidP="00263B5F">
            <w:pPr>
              <w:jc w:val="center"/>
              <w:rPr>
                <w:b/>
                <w:lang w:val="en-US"/>
              </w:rPr>
            </w:pPr>
            <w:r w:rsidRPr="00E107A1">
              <w:rPr>
                <w:b/>
                <w:sz w:val="28"/>
                <w:lang w:val="en-US"/>
              </w:rPr>
              <w:t>Nguyễn Đăng Quang</w:t>
            </w:r>
          </w:p>
        </w:tc>
      </w:tr>
    </w:tbl>
    <w:p w:rsidR="00BE76A4" w:rsidRPr="00BF40BF" w:rsidRDefault="00BE76A4" w:rsidP="00BE76A4">
      <w:pPr>
        <w:tabs>
          <w:tab w:val="center" w:pos="1276"/>
          <w:tab w:val="center" w:pos="6663"/>
        </w:tabs>
        <w:jc w:val="both"/>
        <w:rPr>
          <w:b/>
          <w:bCs/>
          <w:lang w:val="en-US"/>
        </w:rPr>
      </w:pPr>
    </w:p>
    <w:p w:rsidR="00BE76A4" w:rsidRPr="00BF40BF" w:rsidRDefault="00BE76A4" w:rsidP="00BE76A4">
      <w:pPr>
        <w:tabs>
          <w:tab w:val="center" w:pos="1276"/>
          <w:tab w:val="center" w:pos="6663"/>
        </w:tabs>
        <w:jc w:val="both"/>
        <w:rPr>
          <w:b/>
          <w:bCs/>
          <w:lang w:val="en-US"/>
        </w:rPr>
      </w:pPr>
    </w:p>
    <w:bookmarkEnd w:id="3"/>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Pr="00BF40BF" w:rsidRDefault="00BE76A4" w:rsidP="00BE76A4">
      <w:pPr>
        <w:spacing w:after="120"/>
        <w:rPr>
          <w:color w:val="FF0000"/>
        </w:rPr>
      </w:pPr>
    </w:p>
    <w:p w:rsidR="00BE76A4" w:rsidRDefault="00BE76A4" w:rsidP="00BE76A4">
      <w:pPr>
        <w:spacing w:after="120"/>
        <w:rPr>
          <w:color w:val="FF0000"/>
        </w:rPr>
      </w:pPr>
    </w:p>
    <w:p w:rsidR="00E80B80" w:rsidRDefault="00E80B80" w:rsidP="00BE76A4">
      <w:pPr>
        <w:spacing w:after="120"/>
        <w:rPr>
          <w:color w:val="FF0000"/>
        </w:rPr>
      </w:pPr>
    </w:p>
    <w:p w:rsidR="00E80B80" w:rsidRPr="00BF40BF" w:rsidRDefault="00E80B80" w:rsidP="00BE76A4">
      <w:pPr>
        <w:spacing w:after="120"/>
        <w:rPr>
          <w:color w:val="FF0000"/>
        </w:rPr>
      </w:pPr>
    </w:p>
    <w:p w:rsidR="00BE76A4" w:rsidRPr="00BF40BF" w:rsidRDefault="00BE76A4" w:rsidP="00BE76A4">
      <w:pPr>
        <w:spacing w:after="120"/>
        <w:rPr>
          <w:color w:val="FF0000"/>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1"/>
        <w:gridCol w:w="5811"/>
      </w:tblGrid>
      <w:tr w:rsidR="00BE76A4" w:rsidRPr="00BF40BF" w:rsidTr="000E73A9">
        <w:tc>
          <w:tcPr>
            <w:tcW w:w="3261" w:type="dxa"/>
            <w:tcBorders>
              <w:top w:val="nil"/>
              <w:left w:val="nil"/>
              <w:bottom w:val="nil"/>
              <w:right w:val="nil"/>
              <w:tl2br w:val="nil"/>
              <w:tr2bl w:val="nil"/>
            </w:tcBorders>
            <w:shd w:val="clear" w:color="auto" w:fill="auto"/>
            <w:tcMar>
              <w:top w:w="0" w:type="dxa"/>
              <w:left w:w="108" w:type="dxa"/>
              <w:bottom w:w="0" w:type="dxa"/>
              <w:right w:w="108" w:type="dxa"/>
            </w:tcMar>
          </w:tcPr>
          <w:bookmarkStart w:id="5" w:name="loai_2"/>
          <w:p w:rsidR="00BE76A4" w:rsidRPr="00BF40BF" w:rsidRDefault="00BE76A4" w:rsidP="007F6BEB">
            <w:pPr>
              <w:jc w:val="center"/>
              <w:rPr>
                <w:sz w:val="26"/>
                <w:szCs w:val="26"/>
              </w:rPr>
            </w:pPr>
            <w:r w:rsidRPr="00BF40BF">
              <w:rPr>
                <w:b/>
                <w:bCs/>
                <w:noProof/>
                <w:sz w:val="26"/>
                <w:szCs w:val="26"/>
                <w:lang w:val="en-US"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646430</wp:posOffset>
                      </wp:positionH>
                      <wp:positionV relativeFrom="paragraph">
                        <wp:posOffset>419735</wp:posOffset>
                      </wp:positionV>
                      <wp:extent cx="805180" cy="0"/>
                      <wp:effectExtent l="12065" t="8890"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50F7B" id="Straight Arrow Connector 4" o:spid="_x0000_s1026" type="#_x0000_t32" style="position:absolute;margin-left:50.9pt;margin-top:33.05pt;width:63.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kWJAIAAEk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"/>
                  </w:pict>
                </mc:Fallback>
              </mc:AlternateContent>
            </w:r>
            <w:r w:rsidRPr="00BF40BF">
              <w:rPr>
                <w:b/>
                <w:bCs/>
                <w:sz w:val="26"/>
                <w:szCs w:val="26"/>
              </w:rPr>
              <w:t>HỘI ĐỒNG NHÂN DÂN</w:t>
            </w:r>
            <w:r w:rsidRPr="00BF40BF">
              <w:rPr>
                <w:b/>
                <w:bCs/>
                <w:sz w:val="26"/>
                <w:szCs w:val="26"/>
              </w:rPr>
              <w:br/>
              <w:t>TỈNH QUẢNG TRỊ</w:t>
            </w:r>
            <w:r w:rsidRPr="00BF40BF">
              <w:rPr>
                <w:b/>
                <w:bCs/>
                <w:sz w:val="26"/>
                <w:szCs w:val="26"/>
              </w:rPr>
              <w:br/>
            </w:r>
          </w:p>
        </w:tc>
        <w:tc>
          <w:tcPr>
            <w:tcW w:w="5811" w:type="dxa"/>
            <w:tcBorders>
              <w:top w:val="nil"/>
              <w:left w:val="nil"/>
              <w:bottom w:val="nil"/>
              <w:right w:val="nil"/>
              <w:tl2br w:val="nil"/>
              <w:tr2bl w:val="nil"/>
            </w:tcBorders>
            <w:shd w:val="clear" w:color="auto" w:fill="auto"/>
            <w:tcMar>
              <w:top w:w="0" w:type="dxa"/>
              <w:left w:w="108" w:type="dxa"/>
              <w:bottom w:w="0" w:type="dxa"/>
              <w:right w:w="108" w:type="dxa"/>
            </w:tcMar>
          </w:tcPr>
          <w:p w:rsidR="00BE76A4" w:rsidRPr="00BF40BF" w:rsidRDefault="00BE76A4" w:rsidP="007F6BEB">
            <w:pPr>
              <w:jc w:val="center"/>
              <w:rPr>
                <w:sz w:val="26"/>
                <w:szCs w:val="26"/>
              </w:rPr>
            </w:pPr>
            <w:r w:rsidRPr="00BF40BF">
              <w:rPr>
                <w:b/>
                <w:bCs/>
                <w:noProof/>
                <w:sz w:val="26"/>
                <w:szCs w:val="26"/>
                <w:lang w:val="en-US" w:eastAsia="en-US"/>
              </w:rPr>
              <mc:AlternateContent>
                <mc:Choice Requires="wps">
                  <w:drawing>
                    <wp:anchor distT="0" distB="0" distL="114300" distR="114300" simplePos="0" relativeHeight="251666432" behindDoc="0" locked="0" layoutInCell="1" allowOverlap="1">
                      <wp:simplePos x="0" y="0"/>
                      <wp:positionH relativeFrom="column">
                        <wp:posOffset>765810</wp:posOffset>
                      </wp:positionH>
                      <wp:positionV relativeFrom="paragraph">
                        <wp:posOffset>418465</wp:posOffset>
                      </wp:positionV>
                      <wp:extent cx="1943735" cy="0"/>
                      <wp:effectExtent l="7620" t="7620" r="10795"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47AE3" id="Straight Arrow Connector 3" o:spid="_x0000_s1026" type="#_x0000_t32" style="position:absolute;margin-left:60.3pt;margin-top:32.95pt;width:153.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"/>
                  </w:pict>
                </mc:Fallback>
              </mc:AlternateContent>
            </w:r>
            <w:r w:rsidRPr="00BF40BF">
              <w:rPr>
                <w:b/>
                <w:bCs/>
                <w:sz w:val="26"/>
                <w:szCs w:val="26"/>
              </w:rPr>
              <w:t>CỘNG HÒA XÃ HỘI CHỦ NGHĨA VIỆT NAM</w:t>
            </w:r>
            <w:r w:rsidRPr="00BF40BF">
              <w:rPr>
                <w:b/>
                <w:bCs/>
                <w:sz w:val="26"/>
                <w:szCs w:val="26"/>
              </w:rPr>
              <w:br/>
              <w:t xml:space="preserve">Độc lập - Tự do - Hạnh phúc </w:t>
            </w:r>
            <w:r w:rsidRPr="00BF40BF">
              <w:rPr>
                <w:b/>
                <w:bCs/>
                <w:sz w:val="26"/>
                <w:szCs w:val="26"/>
              </w:rPr>
              <w:br/>
            </w:r>
          </w:p>
        </w:tc>
      </w:tr>
    </w:tbl>
    <w:p w:rsidR="00BE76A4" w:rsidRPr="00BF40BF" w:rsidRDefault="00BE76A4" w:rsidP="00BE76A4">
      <w:pPr>
        <w:spacing w:after="120"/>
      </w:pPr>
      <w:r w:rsidRPr="00BF40BF">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-370561</wp:posOffset>
                </wp:positionH>
                <wp:positionV relativeFrom="paragraph">
                  <wp:posOffset>27253</wp:posOffset>
                </wp:positionV>
                <wp:extent cx="1146175" cy="468173"/>
                <wp:effectExtent l="0" t="0" r="15875"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468173"/>
                        </a:xfrm>
                        <a:prstGeom prst="rect">
                          <a:avLst/>
                        </a:prstGeom>
                        <a:solidFill>
                          <a:srgbClr val="FFFFFF"/>
                        </a:solidFill>
                        <a:ln w="9525">
                          <a:solidFill>
                            <a:srgbClr val="000000"/>
                          </a:solidFill>
                          <a:miter lim="800000"/>
                          <a:headEnd/>
                          <a:tailEnd/>
                        </a:ln>
                      </wps:spPr>
                      <wps:txbx>
                        <w:txbxContent>
                          <w:p w:rsidR="00604A2C" w:rsidRPr="00B978DD" w:rsidRDefault="00604A2C" w:rsidP="00BE76A4">
                            <w:pPr>
                              <w:jc w:val="center"/>
                              <w:rPr>
                                <w:b/>
                                <w:color w:val="FF0000"/>
                                <w:lang w:val="en-US"/>
                              </w:rPr>
                            </w:pPr>
                            <w:r w:rsidRPr="00B978DD">
                              <w:rPr>
                                <w:b/>
                                <w:color w:val="FF0000"/>
                                <w:lang w:val="en-US"/>
                              </w:rPr>
                              <w:t>DỰ THẢO</w:t>
                            </w:r>
                          </w:p>
                          <w:p w:rsidR="00604A2C" w:rsidRPr="00B978DD" w:rsidRDefault="00604A2C" w:rsidP="00BE76A4">
                            <w:pPr>
                              <w:jc w:val="center"/>
                              <w:rPr>
                                <w:b/>
                                <w:color w:val="FF0000"/>
                                <w:lang w:val="en-US"/>
                              </w:rPr>
                            </w:pPr>
                            <w:r w:rsidRPr="00B978DD">
                              <w:rPr>
                                <w:b/>
                                <w:color w:val="FF0000"/>
                                <w:lang w:val="en-US"/>
                              </w:rPr>
                              <w:t>Lần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9.2pt;margin-top:2.15pt;width:90.2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wLAIAAFc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">
                <v:textbox>
                  <w:txbxContent>
                    <w:p w:rsidR="00604A2C" w:rsidRPr="00B978DD" w:rsidRDefault="00604A2C" w:rsidP="00BE76A4">
                      <w:pPr>
                        <w:jc w:val="center"/>
                        <w:rPr>
                          <w:b/>
                          <w:color w:val="FF0000"/>
                          <w:lang w:val="en-US"/>
                        </w:rPr>
                      </w:pPr>
                      <w:r w:rsidRPr="00B978DD">
                        <w:rPr>
                          <w:b/>
                          <w:color w:val="FF0000"/>
                          <w:lang w:val="en-US"/>
                        </w:rPr>
                        <w:t>DỰ THẢO</w:t>
                      </w:r>
                    </w:p>
                    <w:p w:rsidR="00604A2C" w:rsidRPr="00B978DD" w:rsidRDefault="00604A2C" w:rsidP="00BE76A4">
                      <w:pPr>
                        <w:jc w:val="center"/>
                        <w:rPr>
                          <w:b/>
                          <w:color w:val="FF0000"/>
                          <w:lang w:val="en-US"/>
                        </w:rPr>
                      </w:pPr>
                      <w:r w:rsidRPr="00B978DD">
                        <w:rPr>
                          <w:b/>
                          <w:color w:val="FF0000"/>
                          <w:lang w:val="en-US"/>
                        </w:rPr>
                        <w:t>Lần 1</w:t>
                      </w:r>
                    </w:p>
                  </w:txbxContent>
                </v:textbox>
              </v:shape>
            </w:pict>
          </mc:Fallback>
        </mc:AlternateContent>
      </w:r>
      <w:r w:rsidRPr="00BF40BF">
        <w:t> </w:t>
      </w:r>
    </w:p>
    <w:p w:rsidR="00BE76A4" w:rsidRPr="00B978DD" w:rsidRDefault="00BE76A4" w:rsidP="00BE76A4">
      <w:pPr>
        <w:jc w:val="center"/>
        <w:rPr>
          <w:b/>
          <w:bCs/>
          <w:sz w:val="28"/>
          <w:szCs w:val="28"/>
          <w:lang w:val="en-US"/>
        </w:rPr>
      </w:pPr>
      <w:r w:rsidRPr="00B978DD">
        <w:rPr>
          <w:b/>
          <w:bCs/>
          <w:sz w:val="28"/>
          <w:szCs w:val="28"/>
          <w:lang w:val="en-US"/>
        </w:rPr>
        <w:t>QUY ĐỊNH</w:t>
      </w:r>
    </w:p>
    <w:p w:rsidR="00BE76A4" w:rsidRPr="00B978DD" w:rsidRDefault="00BE76A4" w:rsidP="00BE76A4">
      <w:pPr>
        <w:jc w:val="center"/>
        <w:rPr>
          <w:b/>
          <w:sz w:val="28"/>
          <w:szCs w:val="28"/>
          <w:lang w:val="en-US"/>
        </w:rPr>
      </w:pPr>
      <w:r w:rsidRPr="00B978DD">
        <w:rPr>
          <w:b/>
          <w:sz w:val="28"/>
          <w:szCs w:val="28"/>
          <w:lang w:val="en-US"/>
        </w:rPr>
        <w:t>Định mức phân bổ dự toán chi thường xuyên</w:t>
      </w:r>
    </w:p>
    <w:p w:rsidR="00BE76A4" w:rsidRPr="00B978DD" w:rsidRDefault="00BE76A4" w:rsidP="00BE76A4">
      <w:pPr>
        <w:jc w:val="center"/>
        <w:rPr>
          <w:b/>
          <w:sz w:val="28"/>
          <w:szCs w:val="28"/>
          <w:lang w:val="en-US"/>
        </w:rPr>
      </w:pPr>
      <w:r w:rsidRPr="00B978DD">
        <w:rPr>
          <w:b/>
          <w:sz w:val="28"/>
          <w:szCs w:val="28"/>
          <w:lang w:val="en-US"/>
        </w:rPr>
        <w:t>ngân sách địa phương năm 2022 tỉnh Quảng Trị</w:t>
      </w:r>
    </w:p>
    <w:p w:rsidR="00BE76A4" w:rsidRPr="00B978DD" w:rsidRDefault="00BE76A4" w:rsidP="00BE76A4">
      <w:pPr>
        <w:ind w:left="851" w:right="850"/>
        <w:jc w:val="center"/>
        <w:rPr>
          <w:i/>
          <w:sz w:val="28"/>
          <w:szCs w:val="28"/>
          <w:lang w:val="en-US"/>
        </w:rPr>
      </w:pPr>
      <w:r w:rsidRPr="00B978DD">
        <w:rPr>
          <w:i/>
          <w:sz w:val="28"/>
          <w:szCs w:val="28"/>
          <w:lang w:val="en-US"/>
        </w:rPr>
        <w:t>(Ban hành Kèm theo Nghị quyết số …/2021/NQ-HĐND ngày …/…/2021 của HĐND tỉnh Quảng Trị)</w:t>
      </w:r>
    </w:p>
    <w:p w:rsidR="00BE76A4" w:rsidRPr="00B978DD" w:rsidRDefault="00BE76A4" w:rsidP="00BE76A4">
      <w:pPr>
        <w:spacing w:after="120"/>
        <w:jc w:val="center"/>
        <w:rPr>
          <w:b/>
          <w:bCs/>
          <w:sz w:val="28"/>
          <w:szCs w:val="28"/>
        </w:rPr>
      </w:pPr>
      <w:r w:rsidRPr="00B978DD">
        <w:rPr>
          <w:b/>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2007235</wp:posOffset>
                </wp:positionH>
                <wp:positionV relativeFrom="paragraph">
                  <wp:posOffset>66675</wp:posOffset>
                </wp:positionV>
                <wp:extent cx="1746885" cy="0"/>
                <wp:effectExtent l="10795" t="13335" r="1397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EE002" id="Straight Arrow Connector 1" o:spid="_x0000_s1026" type="#_x0000_t32" style="position:absolute;margin-left:158.05pt;margin-top:5.25pt;width:13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0CJgIAAEo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"/>
            </w:pict>
          </mc:Fallback>
        </mc:AlternateContent>
      </w:r>
    </w:p>
    <w:p w:rsidR="00BE76A4" w:rsidRPr="00BF40BF" w:rsidRDefault="00BE76A4" w:rsidP="00BE76A4">
      <w:pPr>
        <w:spacing w:after="120"/>
        <w:jc w:val="center"/>
        <w:rPr>
          <w:b/>
          <w:bCs/>
          <w:sz w:val="28"/>
          <w:szCs w:val="28"/>
          <w:lang w:val="en-US"/>
        </w:rPr>
      </w:pPr>
      <w:r w:rsidRPr="00BF40BF">
        <w:rPr>
          <w:b/>
          <w:bCs/>
          <w:sz w:val="28"/>
          <w:szCs w:val="28"/>
          <w:lang w:val="en-US"/>
        </w:rPr>
        <w:t>Chương I</w:t>
      </w:r>
    </w:p>
    <w:p w:rsidR="00BE76A4" w:rsidRPr="00BF40BF" w:rsidRDefault="00BE76A4" w:rsidP="00BE76A4">
      <w:pPr>
        <w:spacing w:after="120"/>
        <w:jc w:val="center"/>
        <w:rPr>
          <w:b/>
          <w:bCs/>
          <w:sz w:val="28"/>
          <w:szCs w:val="28"/>
          <w:lang w:val="en-US"/>
        </w:rPr>
      </w:pPr>
      <w:r w:rsidRPr="00BF40BF">
        <w:rPr>
          <w:b/>
          <w:bCs/>
          <w:sz w:val="28"/>
          <w:szCs w:val="28"/>
          <w:lang w:val="en-US"/>
        </w:rPr>
        <w:t>QUY ĐỊNH CHUNG</w:t>
      </w:r>
    </w:p>
    <w:p w:rsidR="00BE76A4" w:rsidRPr="00BF40BF" w:rsidRDefault="00BE76A4" w:rsidP="00BE76A4">
      <w:pPr>
        <w:spacing w:after="120"/>
        <w:jc w:val="center"/>
        <w:rPr>
          <w:b/>
          <w:bCs/>
          <w:sz w:val="28"/>
          <w:szCs w:val="28"/>
          <w:lang w:val="en-US"/>
        </w:rPr>
      </w:pPr>
    </w:p>
    <w:p w:rsidR="00BE76A4" w:rsidRPr="00BF40BF" w:rsidRDefault="00BE76A4" w:rsidP="00B177B9">
      <w:pPr>
        <w:spacing w:after="120"/>
        <w:ind w:firstLine="720"/>
        <w:rPr>
          <w:b/>
          <w:bCs/>
          <w:sz w:val="28"/>
          <w:szCs w:val="28"/>
          <w:lang w:val="en-US"/>
        </w:rPr>
      </w:pPr>
      <w:r w:rsidRPr="00BF40BF">
        <w:rPr>
          <w:b/>
          <w:bCs/>
          <w:sz w:val="28"/>
          <w:szCs w:val="28"/>
          <w:lang w:val="en-US"/>
        </w:rPr>
        <w:t>Điều 1. Phạm vi điều chỉnh và đối tượng áp dụng</w:t>
      </w:r>
    </w:p>
    <w:p w:rsidR="00BE76A4" w:rsidRPr="00BC5972" w:rsidRDefault="00BE76A4" w:rsidP="00B177B9">
      <w:pPr>
        <w:spacing w:after="120"/>
        <w:ind w:firstLine="720"/>
        <w:jc w:val="both"/>
        <w:rPr>
          <w:bCs/>
          <w:sz w:val="28"/>
          <w:szCs w:val="28"/>
          <w:lang w:val="en-US"/>
        </w:rPr>
      </w:pPr>
      <w:r w:rsidRPr="00BC5972">
        <w:rPr>
          <w:bCs/>
          <w:sz w:val="28"/>
          <w:szCs w:val="28"/>
          <w:lang w:val="en-US"/>
        </w:rPr>
        <w:t>1. Phạm vi điều chỉnh</w:t>
      </w:r>
    </w:p>
    <w:p w:rsidR="00BE76A4" w:rsidRPr="00617D13" w:rsidRDefault="00BE76A4" w:rsidP="00B177B9">
      <w:pPr>
        <w:spacing w:after="120"/>
        <w:ind w:firstLine="720"/>
        <w:jc w:val="both"/>
        <w:rPr>
          <w:bCs/>
          <w:sz w:val="28"/>
          <w:szCs w:val="28"/>
          <w:lang w:val="en-US"/>
        </w:rPr>
      </w:pPr>
      <w:r w:rsidRPr="00617D13">
        <w:rPr>
          <w:bCs/>
          <w:sz w:val="28"/>
          <w:szCs w:val="28"/>
          <w:lang w:val="en-US"/>
        </w:rPr>
        <w:t>Nghị quyết này quy định</w:t>
      </w:r>
      <w:r w:rsidR="00E80B80">
        <w:rPr>
          <w:bCs/>
          <w:sz w:val="28"/>
          <w:szCs w:val="28"/>
          <w:lang w:val="en-US"/>
        </w:rPr>
        <w:t xml:space="preserve"> nguyên tắc và </w:t>
      </w:r>
      <w:r w:rsidRPr="00617D13">
        <w:rPr>
          <w:bCs/>
          <w:sz w:val="28"/>
          <w:szCs w:val="28"/>
          <w:lang w:val="en-US"/>
        </w:rPr>
        <w:t>định mức phân bổ dự toán chi thường xuyên ngân sách địa phương áp dụng cho năm ngân sách 2022</w:t>
      </w:r>
      <w:r w:rsidR="00E80B80">
        <w:rPr>
          <w:bCs/>
          <w:sz w:val="28"/>
          <w:szCs w:val="28"/>
          <w:lang w:val="en-US"/>
        </w:rPr>
        <w:t xml:space="preserve"> và ổn định đến năm 2025 </w:t>
      </w:r>
      <w:r w:rsidRPr="00617D13">
        <w:rPr>
          <w:bCs/>
          <w:sz w:val="28"/>
          <w:szCs w:val="28"/>
          <w:lang w:val="en-US"/>
        </w:rPr>
        <w:t>theo quy định của Luật Ngân sách nhà nước.</w:t>
      </w:r>
    </w:p>
    <w:p w:rsidR="00BE76A4" w:rsidRPr="00BC5972" w:rsidRDefault="00BE76A4" w:rsidP="00B177B9">
      <w:pPr>
        <w:spacing w:after="120"/>
        <w:ind w:firstLine="720"/>
        <w:jc w:val="both"/>
        <w:rPr>
          <w:bCs/>
          <w:sz w:val="28"/>
          <w:szCs w:val="28"/>
          <w:lang w:val="en-US"/>
        </w:rPr>
      </w:pPr>
      <w:r w:rsidRPr="00BC5972">
        <w:rPr>
          <w:bCs/>
          <w:sz w:val="28"/>
          <w:szCs w:val="28"/>
          <w:lang w:val="en-US"/>
        </w:rPr>
        <w:t>2. Đối tượng áp dụng</w:t>
      </w:r>
    </w:p>
    <w:p w:rsidR="00BE76A4" w:rsidRDefault="0064143F" w:rsidP="00B177B9">
      <w:pPr>
        <w:spacing w:after="120"/>
        <w:ind w:firstLine="720"/>
        <w:jc w:val="both"/>
        <w:rPr>
          <w:bCs/>
          <w:sz w:val="28"/>
          <w:szCs w:val="28"/>
          <w:lang w:val="en-US"/>
        </w:rPr>
      </w:pPr>
      <w:r>
        <w:rPr>
          <w:bCs/>
          <w:sz w:val="28"/>
          <w:szCs w:val="28"/>
          <w:lang w:val="en-US"/>
        </w:rPr>
        <w:t>a)</w:t>
      </w:r>
      <w:r w:rsidR="00BE76A4" w:rsidRPr="00BF40BF">
        <w:rPr>
          <w:bCs/>
          <w:sz w:val="28"/>
          <w:szCs w:val="28"/>
          <w:lang w:val="en-US"/>
        </w:rPr>
        <w:t xml:space="preserve"> UBND tỉnh; </w:t>
      </w:r>
      <w:r w:rsidR="00CE0E03">
        <w:rPr>
          <w:bCs/>
          <w:sz w:val="28"/>
          <w:szCs w:val="28"/>
          <w:lang w:val="en-US"/>
        </w:rPr>
        <w:t>c</w:t>
      </w:r>
      <w:r w:rsidRPr="0064143F">
        <w:rPr>
          <w:bCs/>
          <w:sz w:val="28"/>
          <w:szCs w:val="28"/>
          <w:lang w:val="en-US"/>
        </w:rPr>
        <w:t xml:space="preserve">ác Sở, ban, ngành, đoàn thể, đơn vị dự toán cấp tỉnh; </w:t>
      </w:r>
      <w:r w:rsidR="00BE76A4" w:rsidRPr="00BF40BF">
        <w:rPr>
          <w:bCs/>
          <w:sz w:val="28"/>
          <w:szCs w:val="28"/>
          <w:lang w:val="en-US"/>
        </w:rPr>
        <w:t>UBND các huyện, thành phố, thị xã; UBND các xã, phường, thị trấn.</w:t>
      </w:r>
    </w:p>
    <w:p w:rsidR="00CE0E03" w:rsidRPr="00CE0E03" w:rsidRDefault="00CE0E03" w:rsidP="00CE0E03">
      <w:pPr>
        <w:spacing w:after="120"/>
        <w:ind w:firstLine="720"/>
        <w:jc w:val="both"/>
        <w:rPr>
          <w:bCs/>
          <w:sz w:val="28"/>
          <w:szCs w:val="28"/>
          <w:lang w:val="en-US"/>
        </w:rPr>
      </w:pPr>
      <w:r w:rsidRPr="00CE0E03">
        <w:rPr>
          <w:bCs/>
          <w:sz w:val="28"/>
          <w:szCs w:val="28"/>
          <w:lang w:val="en-US"/>
        </w:rPr>
        <w:t>b) Cơ quan, tổ chức, cá nhân có liên quan đến lập, phân bổ, chấp hành dự toán chi thường xuyên ngân sách địa phương.</w:t>
      </w:r>
    </w:p>
    <w:p w:rsidR="00BE76A4" w:rsidRPr="00BF40BF" w:rsidRDefault="00BE76A4" w:rsidP="00B177B9">
      <w:pPr>
        <w:spacing w:after="120"/>
        <w:ind w:firstLine="720"/>
        <w:jc w:val="both"/>
        <w:rPr>
          <w:b/>
          <w:bCs/>
          <w:sz w:val="28"/>
          <w:szCs w:val="28"/>
          <w:lang w:val="en-US"/>
        </w:rPr>
      </w:pPr>
      <w:r w:rsidRPr="00BF40BF">
        <w:rPr>
          <w:b/>
          <w:bCs/>
          <w:sz w:val="28"/>
          <w:szCs w:val="28"/>
          <w:lang w:val="en-US"/>
        </w:rPr>
        <w:t>Điều 2. Nguyên tắc phân bổ định mức chi thường xuyên ngân sách</w:t>
      </w:r>
    </w:p>
    <w:p w:rsidR="00BE76A4" w:rsidRPr="00BF40BF" w:rsidRDefault="00BE76A4" w:rsidP="00B177B9">
      <w:pPr>
        <w:spacing w:after="120"/>
        <w:ind w:firstLine="720"/>
        <w:jc w:val="both"/>
        <w:rPr>
          <w:bCs/>
          <w:sz w:val="28"/>
          <w:szCs w:val="28"/>
          <w:lang w:val="en-US"/>
        </w:rPr>
      </w:pPr>
      <w:r w:rsidRPr="00BF40BF">
        <w:rPr>
          <w:bCs/>
          <w:sz w:val="28"/>
          <w:szCs w:val="28"/>
          <w:lang w:val="en-US"/>
        </w:rPr>
        <w:t>1. Định mức chi thường xuyên ngân sách quy định tại Nghị quyết này là cơ sở để xây dựng dự toán chi ngân sách của từng cơ quan, đơn vị</w:t>
      </w:r>
      <w:r w:rsidR="00617D13">
        <w:rPr>
          <w:bCs/>
          <w:sz w:val="28"/>
          <w:szCs w:val="28"/>
          <w:lang w:val="en-US"/>
        </w:rPr>
        <w:t>;</w:t>
      </w:r>
      <w:r w:rsidRPr="00BF40BF">
        <w:rPr>
          <w:bCs/>
          <w:sz w:val="28"/>
          <w:szCs w:val="28"/>
          <w:lang w:val="en-US"/>
        </w:rPr>
        <w:t xml:space="preserve"> dự toán chi ngân sách của các huyện, thành phố, thị xã (bao gồm cấp huyện và cấp xã).</w:t>
      </w:r>
    </w:p>
    <w:p w:rsidR="002B455D" w:rsidRDefault="00BE76A4" w:rsidP="00B177B9">
      <w:pPr>
        <w:spacing w:after="120"/>
        <w:ind w:firstLine="720"/>
        <w:jc w:val="both"/>
        <w:rPr>
          <w:bCs/>
          <w:sz w:val="28"/>
          <w:szCs w:val="28"/>
          <w:lang w:val="en-US"/>
        </w:rPr>
      </w:pPr>
      <w:r w:rsidRPr="00BF40BF">
        <w:rPr>
          <w:bCs/>
          <w:sz w:val="28"/>
          <w:szCs w:val="28"/>
          <w:lang w:val="en-US"/>
        </w:rPr>
        <w:t xml:space="preserve">2. Phù hợp theo phân cấp quản lý ngân sách, khả năng cân đối </w:t>
      </w:r>
      <w:r w:rsidR="00BC5972">
        <w:rPr>
          <w:bCs/>
          <w:sz w:val="28"/>
          <w:szCs w:val="28"/>
          <w:lang w:val="en-US"/>
        </w:rPr>
        <w:t>ngân sách</w:t>
      </w:r>
      <w:r w:rsidRPr="00BF40BF">
        <w:rPr>
          <w:bCs/>
          <w:sz w:val="28"/>
          <w:szCs w:val="28"/>
          <w:lang w:val="en-US"/>
        </w:rPr>
        <w:t xml:space="preserve"> năm 2022 và cả giai đoạn ổn định mới, đảm bảo kinh phí thực hiện các chế độ, chính sách hiện hành</w:t>
      </w:r>
      <w:r w:rsidR="002B455D">
        <w:rPr>
          <w:bCs/>
          <w:sz w:val="28"/>
          <w:szCs w:val="28"/>
          <w:lang w:val="en-US"/>
        </w:rPr>
        <w:t xml:space="preserve">. </w:t>
      </w:r>
      <w:r w:rsidR="00C9304F">
        <w:rPr>
          <w:bCs/>
          <w:sz w:val="28"/>
          <w:szCs w:val="28"/>
          <w:lang w:val="en-US"/>
        </w:rPr>
        <w:t>T</w:t>
      </w:r>
      <w:r w:rsidR="002B455D" w:rsidRPr="002B455D">
        <w:rPr>
          <w:bCs/>
          <w:sz w:val="28"/>
          <w:szCs w:val="28"/>
          <w:lang w:val="en-US"/>
        </w:rPr>
        <w:t>ừng bước nâng cao hiệu quả sử dụng ngân sách nhà nước, phấn đấu giảm dần tỷ lệ chi thường xuyên, góp phần cơ cấu lại thu</w:t>
      </w:r>
      <w:r w:rsidR="002B455D">
        <w:rPr>
          <w:bCs/>
          <w:sz w:val="28"/>
          <w:szCs w:val="28"/>
          <w:lang w:val="en-US"/>
        </w:rPr>
        <w:t>,</w:t>
      </w:r>
      <w:r w:rsidR="00C9304F">
        <w:rPr>
          <w:bCs/>
          <w:sz w:val="28"/>
          <w:szCs w:val="28"/>
          <w:lang w:val="en-US"/>
        </w:rPr>
        <w:t xml:space="preserve"> chi ngân sách</w:t>
      </w:r>
      <w:r w:rsidR="002B455D" w:rsidRPr="002B455D">
        <w:rPr>
          <w:bCs/>
          <w:sz w:val="28"/>
          <w:szCs w:val="28"/>
          <w:lang w:val="en-US"/>
        </w:rPr>
        <w:t xml:space="preserve">, sắp xếp bộ máy quản lý hành chính, đơn vị sự nghiệp công lập, sắp xếp các đơn vị hành chính cấp huyện, xã, tinh giản biên chế, thực hiện cải cách tiền lương và yêu cầu thực hiện nhiệm vụ chính trị của từng Sở, </w:t>
      </w:r>
      <w:r w:rsidR="003803A2">
        <w:rPr>
          <w:bCs/>
          <w:sz w:val="28"/>
          <w:szCs w:val="28"/>
          <w:lang w:val="en-US"/>
        </w:rPr>
        <w:t xml:space="preserve">ban, </w:t>
      </w:r>
      <w:r w:rsidR="002B455D" w:rsidRPr="002B455D">
        <w:rPr>
          <w:bCs/>
          <w:sz w:val="28"/>
          <w:szCs w:val="28"/>
          <w:lang w:val="en-US"/>
        </w:rPr>
        <w:t>ngành và địa phương.</w:t>
      </w:r>
    </w:p>
    <w:p w:rsidR="00BE76A4" w:rsidRPr="005B1B3B" w:rsidRDefault="00BE76A4" w:rsidP="00B177B9">
      <w:pPr>
        <w:spacing w:after="120"/>
        <w:ind w:firstLine="720"/>
        <w:jc w:val="both"/>
        <w:rPr>
          <w:sz w:val="28"/>
          <w:szCs w:val="28"/>
          <w:lang w:val="en-US"/>
        </w:rPr>
      </w:pPr>
      <w:r w:rsidRPr="00BF40BF">
        <w:rPr>
          <w:bCs/>
          <w:sz w:val="28"/>
          <w:szCs w:val="28"/>
          <w:lang w:val="en-US"/>
        </w:rPr>
        <w:t xml:space="preserve">3. Định mức chi hoạt động thường xuyên (chi khác) tính theo biên chế được giao không bao gồm quỹ tiền lương, tiền công, phụ cấp và các khoản đóng góp theo lương. Chỉ xây dựng định mức chi khác </w:t>
      </w:r>
      <w:r w:rsidR="00D75657">
        <w:rPr>
          <w:bCs/>
          <w:sz w:val="28"/>
          <w:szCs w:val="28"/>
          <w:lang w:val="en-US"/>
        </w:rPr>
        <w:t>(</w:t>
      </w:r>
      <w:r w:rsidR="00D75657" w:rsidRPr="006B2156">
        <w:rPr>
          <w:sz w:val="28"/>
          <w:szCs w:val="28"/>
          <w:lang w:val="it-IT"/>
        </w:rPr>
        <w:t>chi hoạt động có tính chất thường xuyên</w:t>
      </w:r>
      <w:r w:rsidR="00D75657">
        <w:rPr>
          <w:sz w:val="28"/>
          <w:szCs w:val="28"/>
          <w:lang w:val="it-IT"/>
        </w:rPr>
        <w:t>)</w:t>
      </w:r>
      <w:r w:rsidR="00D75657" w:rsidRPr="006B2156">
        <w:rPr>
          <w:sz w:val="28"/>
          <w:szCs w:val="28"/>
          <w:lang w:val="it-IT"/>
        </w:rPr>
        <w:t xml:space="preserve"> </w:t>
      </w:r>
      <w:r w:rsidRPr="00BF40BF">
        <w:rPr>
          <w:bCs/>
          <w:sz w:val="28"/>
          <w:szCs w:val="28"/>
          <w:lang w:val="en-US"/>
        </w:rPr>
        <w:t xml:space="preserve">của một biên chế giao cho từng loại hình cơ quan, đơn vị (biên chế </w:t>
      </w:r>
      <w:r w:rsidR="00C14B58">
        <w:rPr>
          <w:bCs/>
          <w:sz w:val="28"/>
          <w:szCs w:val="28"/>
          <w:lang w:val="en-US"/>
        </w:rPr>
        <w:t>Quản lý hành chính</w:t>
      </w:r>
      <w:r w:rsidRPr="00BF40BF">
        <w:rPr>
          <w:bCs/>
          <w:sz w:val="28"/>
          <w:szCs w:val="28"/>
          <w:lang w:val="en-US"/>
        </w:rPr>
        <w:t xml:space="preserve">, Đảng, Đoàn thể; biên chế sự nghiệp và Hội đặc thù); </w:t>
      </w:r>
      <w:r w:rsidRPr="005B1B3B">
        <w:rPr>
          <w:bCs/>
          <w:sz w:val="28"/>
          <w:szCs w:val="28"/>
          <w:lang w:val="en-US"/>
        </w:rPr>
        <w:t xml:space="preserve">định mức này </w:t>
      </w:r>
      <w:r w:rsidRPr="005B1B3B">
        <w:rPr>
          <w:bCs/>
          <w:sz w:val="28"/>
          <w:szCs w:val="28"/>
          <w:lang w:val="en-US"/>
        </w:rPr>
        <w:lastRenderedPageBreak/>
        <w:t xml:space="preserve">đã bao gồm chi khác của </w:t>
      </w:r>
      <w:r w:rsidRPr="005B1B3B">
        <w:rPr>
          <w:sz w:val="28"/>
          <w:szCs w:val="28"/>
        </w:rPr>
        <w:t xml:space="preserve">lao động hợp đồng theo </w:t>
      </w:r>
      <w:r w:rsidRPr="005B1B3B">
        <w:rPr>
          <w:bCs/>
          <w:sz w:val="28"/>
          <w:szCs w:val="28"/>
          <w:shd w:val="clear" w:color="auto" w:fill="FFFFFF"/>
        </w:rPr>
        <w:t>Nghị định số 68/2000/NĐ-CP</w:t>
      </w:r>
      <w:r w:rsidRPr="005B1B3B">
        <w:rPr>
          <w:bCs/>
          <w:sz w:val="28"/>
          <w:szCs w:val="28"/>
          <w:shd w:val="clear" w:color="auto" w:fill="FFFFFF"/>
          <w:lang w:val="en-US"/>
        </w:rPr>
        <w:t xml:space="preserve">, </w:t>
      </w:r>
      <w:r w:rsidRPr="005B1B3B">
        <w:rPr>
          <w:sz w:val="28"/>
          <w:szCs w:val="28"/>
        </w:rPr>
        <w:t>Nghị định số 161/2018/NĐ-CP</w:t>
      </w:r>
      <w:r w:rsidR="007A467E">
        <w:rPr>
          <w:sz w:val="28"/>
          <w:szCs w:val="28"/>
          <w:lang w:val="en-US"/>
        </w:rPr>
        <w:t xml:space="preserve"> của Chính phủ</w:t>
      </w:r>
      <w:r w:rsidRPr="005B1B3B">
        <w:rPr>
          <w:sz w:val="28"/>
          <w:szCs w:val="28"/>
          <w:lang w:val="en-US"/>
        </w:rPr>
        <w:t>.</w:t>
      </w:r>
    </w:p>
    <w:p w:rsidR="00BE76A4" w:rsidRPr="005B1B10" w:rsidRDefault="00BE76A4" w:rsidP="00B177B9">
      <w:pPr>
        <w:spacing w:after="120"/>
        <w:ind w:firstLine="720"/>
        <w:jc w:val="both"/>
        <w:rPr>
          <w:sz w:val="28"/>
          <w:szCs w:val="28"/>
        </w:rPr>
      </w:pPr>
      <w:r w:rsidRPr="005B1B10">
        <w:rPr>
          <w:sz w:val="28"/>
          <w:szCs w:val="28"/>
        </w:rPr>
        <w:t xml:space="preserve">Quỹ tiền lương, tiền công, phụ cấp và các khoản đóng góp theo lương của từng cơ quan, đơn vị và các huyện, thành phố, thị xã </w:t>
      </w:r>
      <w:r w:rsidRPr="005B1B3B">
        <w:rPr>
          <w:sz w:val="28"/>
          <w:szCs w:val="28"/>
        </w:rPr>
        <w:t xml:space="preserve">theo số biên chế được cấp có thẩm quyền giao (bao gồm lao động hợp đồng theo </w:t>
      </w:r>
      <w:r w:rsidRPr="005B1B10">
        <w:rPr>
          <w:sz w:val="28"/>
          <w:szCs w:val="28"/>
        </w:rPr>
        <w:t xml:space="preserve">Nghị định số 68/2000/NĐ-CP, </w:t>
      </w:r>
      <w:r w:rsidRPr="005B1B3B">
        <w:rPr>
          <w:sz w:val="28"/>
          <w:szCs w:val="28"/>
        </w:rPr>
        <w:t>Nghị định số 161/2018/NĐ-CP)</w:t>
      </w:r>
      <w:r w:rsidRPr="005B1B10">
        <w:rPr>
          <w:sz w:val="28"/>
          <w:szCs w:val="28"/>
        </w:rPr>
        <w:t xml:space="preserve"> </w:t>
      </w:r>
      <w:r w:rsidRPr="00BF40BF">
        <w:rPr>
          <w:sz w:val="28"/>
          <w:szCs w:val="28"/>
        </w:rPr>
        <w:t>với mức lương cơ sở theo quy định hiện hành</w:t>
      </w:r>
      <w:r w:rsidR="003D3ADC" w:rsidRPr="005B1B10">
        <w:rPr>
          <w:sz w:val="28"/>
          <w:szCs w:val="28"/>
        </w:rPr>
        <w:t>.</w:t>
      </w:r>
      <w:r w:rsidRPr="005B1B10">
        <w:rPr>
          <w:sz w:val="28"/>
          <w:szCs w:val="28"/>
        </w:rPr>
        <w:t xml:space="preserve"> Hàng năm, cơ quan Tài chính sẽ phối hợp với các đơn vị, địa phương xác định tổng kinh phí, tổng hợp chung vào dự toán của từng đơn vị, từng huyện, thành phố, thị xã</w:t>
      </w:r>
      <w:r w:rsidR="005B1B10" w:rsidRPr="005B1B10">
        <w:rPr>
          <w:sz w:val="28"/>
          <w:szCs w:val="28"/>
        </w:rPr>
        <w:t xml:space="preserve"> (Đối với số biên chế, số người làm việc và hợp đồng lao động được cấp có thẩm quyền giao chưa có mặt chênh lệch giữa biên chế được giao và biên chế có mặt: Tính dự toán tiền lương bằng mức lương chuyên viên bậc 1).</w:t>
      </w:r>
    </w:p>
    <w:p w:rsidR="00BE76A4" w:rsidRPr="00146D49" w:rsidRDefault="00BE76A4" w:rsidP="00B177B9">
      <w:pPr>
        <w:spacing w:after="120"/>
        <w:ind w:firstLine="720"/>
        <w:jc w:val="both"/>
        <w:rPr>
          <w:sz w:val="28"/>
          <w:szCs w:val="28"/>
        </w:rPr>
      </w:pPr>
      <w:r w:rsidRPr="00BF40BF">
        <w:rPr>
          <w:sz w:val="28"/>
          <w:szCs w:val="28"/>
          <w:lang w:val="en-US"/>
        </w:rPr>
        <w:t>4</w:t>
      </w:r>
      <w:r w:rsidRPr="00BF40BF">
        <w:rPr>
          <w:sz w:val="28"/>
          <w:szCs w:val="28"/>
        </w:rPr>
        <w:t>. Tiêu chí phân bổ định mức rõ ràng, đơn giản, đảm bảo công bằng, công khai, minh bạch, cải tiến</w:t>
      </w:r>
      <w:r w:rsidRPr="00BF40BF">
        <w:rPr>
          <w:sz w:val="28"/>
          <w:szCs w:val="28"/>
          <w:lang w:val="en-US"/>
        </w:rPr>
        <w:t xml:space="preserve"> và bổ sung</w:t>
      </w:r>
      <w:r w:rsidRPr="00BF40BF">
        <w:rPr>
          <w:sz w:val="28"/>
          <w:szCs w:val="28"/>
        </w:rPr>
        <w:t xml:space="preserve"> các tiêu chí với một số lĩnh vực chi phù hợp với đặc thù của lĩnh vực, từng vùng, từng địa phương. Đảm bảo các chỉ tiêu pháp lệnh Trung ương giao cho địa phương hàng năm như chi sự nghiệp giáo dục đào </w:t>
      </w:r>
      <w:r w:rsidRPr="00146D49">
        <w:rPr>
          <w:sz w:val="28"/>
          <w:szCs w:val="28"/>
        </w:rPr>
        <w:t>tạo, sự nghiệp môi trường, sự nghiệp khoa học.</w:t>
      </w:r>
    </w:p>
    <w:p w:rsidR="00BE76A4" w:rsidRPr="00146D49" w:rsidRDefault="00BE76A4" w:rsidP="00B177B9">
      <w:pPr>
        <w:spacing w:after="120"/>
        <w:ind w:firstLine="720"/>
        <w:jc w:val="both"/>
        <w:rPr>
          <w:sz w:val="28"/>
          <w:szCs w:val="28"/>
          <w:lang w:val="en-US"/>
        </w:rPr>
      </w:pPr>
      <w:r w:rsidRPr="00146D49">
        <w:rPr>
          <w:sz w:val="28"/>
          <w:szCs w:val="28"/>
        </w:rPr>
        <w:t>5. Kế thừa các kết quả đạt được, khắc phục hạn chế của hệ thống định mức năm 2017 đồng thời góp phần thúc đẩy thực hành tiết kiệm chống lãng phí,</w:t>
      </w:r>
      <w:r w:rsidR="00652F6C">
        <w:rPr>
          <w:sz w:val="28"/>
          <w:szCs w:val="28"/>
          <w:lang w:val="en-US"/>
        </w:rPr>
        <w:t xml:space="preserve"> </w:t>
      </w:r>
      <w:r w:rsidRPr="00146D49">
        <w:rPr>
          <w:sz w:val="28"/>
          <w:szCs w:val="28"/>
        </w:rPr>
        <w:t xml:space="preserve">nâng cao chất lượng dịch vụ công, sử dụng hiệu quả NSNN; đổi mới quản lý tài chính đối với khu vực sự nghiệp công để giảm mức hỗ trợ trực tiếp </w:t>
      </w:r>
      <w:r w:rsidR="005B1B3B" w:rsidRPr="00146D49">
        <w:rPr>
          <w:sz w:val="28"/>
          <w:szCs w:val="28"/>
          <w:lang w:val="en-US"/>
        </w:rPr>
        <w:t xml:space="preserve">từ ngân sách </w:t>
      </w:r>
      <w:r w:rsidRPr="00146D49">
        <w:rPr>
          <w:sz w:val="28"/>
          <w:szCs w:val="28"/>
        </w:rPr>
        <w:t>cho đơn vị sự nghiệp công lập</w:t>
      </w:r>
      <w:r w:rsidRPr="00146D49">
        <w:rPr>
          <w:sz w:val="28"/>
          <w:szCs w:val="28"/>
          <w:lang w:val="en-US"/>
        </w:rPr>
        <w:t>.</w:t>
      </w:r>
    </w:p>
    <w:p w:rsidR="00BE76A4" w:rsidRPr="00DD57D2" w:rsidRDefault="00BE76A4" w:rsidP="00B177B9">
      <w:pPr>
        <w:spacing w:after="120"/>
        <w:ind w:firstLine="720"/>
        <w:jc w:val="both"/>
        <w:rPr>
          <w:sz w:val="28"/>
          <w:szCs w:val="28"/>
        </w:rPr>
      </w:pPr>
      <w:r w:rsidRPr="00146D49">
        <w:rPr>
          <w:sz w:val="28"/>
          <w:szCs w:val="28"/>
        </w:rPr>
        <w:t>6. Sở Nội vụ có trách nhiệm thống nhất với Sở Tài chính về chỉ tiêu biên chế của các ngành, các cơ quan</w:t>
      </w:r>
      <w:r w:rsidR="00FB0682" w:rsidRPr="00146D49">
        <w:rPr>
          <w:sz w:val="28"/>
          <w:szCs w:val="28"/>
          <w:lang w:val="en-US"/>
        </w:rPr>
        <w:t>, đơn vị</w:t>
      </w:r>
      <w:r w:rsidRPr="00146D49">
        <w:rPr>
          <w:sz w:val="28"/>
          <w:szCs w:val="28"/>
        </w:rPr>
        <w:t xml:space="preserve"> được cấp có thẩm quyền giao làm cơ sở xây </w:t>
      </w:r>
      <w:r w:rsidRPr="00DD57D2">
        <w:rPr>
          <w:sz w:val="28"/>
          <w:szCs w:val="28"/>
        </w:rPr>
        <w:t>dựng dự toán NSNN năm kế hoạch trước ngày 20/7 năm hiện hành.</w:t>
      </w:r>
    </w:p>
    <w:p w:rsidR="00BE76A4" w:rsidRDefault="00BE76A4" w:rsidP="00B177B9">
      <w:pPr>
        <w:spacing w:after="120"/>
        <w:ind w:firstLine="720"/>
        <w:jc w:val="both"/>
        <w:rPr>
          <w:bCs/>
          <w:sz w:val="28"/>
          <w:szCs w:val="28"/>
          <w:lang w:val="en-US"/>
        </w:rPr>
      </w:pPr>
      <w:r w:rsidRPr="00DD57D2">
        <w:rPr>
          <w:bCs/>
          <w:sz w:val="28"/>
          <w:szCs w:val="28"/>
          <w:lang w:val="en-US"/>
        </w:rPr>
        <w:t>7. Các đơn vị sự nghiệp công lập:</w:t>
      </w:r>
    </w:p>
    <w:p w:rsidR="003D3ADC" w:rsidRPr="003D3ADC" w:rsidRDefault="003D3ADC" w:rsidP="003D3ADC">
      <w:pPr>
        <w:spacing w:after="120"/>
        <w:ind w:firstLine="720"/>
        <w:jc w:val="both"/>
        <w:rPr>
          <w:sz w:val="28"/>
          <w:szCs w:val="28"/>
        </w:rPr>
      </w:pPr>
      <w:r>
        <w:rPr>
          <w:sz w:val="28"/>
          <w:szCs w:val="28"/>
          <w:lang w:val="en-US"/>
        </w:rPr>
        <w:t>-</w:t>
      </w:r>
      <w:r w:rsidRPr="003D3ADC">
        <w:rPr>
          <w:sz w:val="28"/>
          <w:szCs w:val="28"/>
        </w:rPr>
        <w:t xml:space="preserve"> Định mức phân bổ dự toán chi thường xuyên ngân sách địa phương năm 2022 phân bổ cho các đơn vị sự nghiệp công lập phải tuân thủ theo quy định tại Nghị định số 60/2021/NĐ-CP ngày 21</w:t>
      </w:r>
      <w:r>
        <w:rPr>
          <w:sz w:val="28"/>
          <w:szCs w:val="28"/>
          <w:lang w:val="en-US"/>
        </w:rPr>
        <w:t>/6/2021</w:t>
      </w:r>
      <w:r w:rsidRPr="003D3ADC">
        <w:rPr>
          <w:sz w:val="28"/>
          <w:szCs w:val="28"/>
        </w:rPr>
        <w:t xml:space="preserve"> của Chính phủ về cơ chế tự chủ tài chính của đơn vị sự nghiệp công lập. Tăng cường tính tự chủ của các đơn vị sự nghiệp, giảm dần mức hỗ trợ từ ngân sách nhà nước cho các đơn vị sự nghiệp phù hợp với lộ trình điều chỉnh giá, phí sự nghiệp công lập.</w:t>
      </w:r>
    </w:p>
    <w:p w:rsidR="00BE76A4" w:rsidRPr="00DD57D2" w:rsidRDefault="00BE76A4" w:rsidP="00B177B9">
      <w:pPr>
        <w:spacing w:after="120"/>
        <w:jc w:val="both"/>
        <w:rPr>
          <w:bCs/>
          <w:sz w:val="28"/>
          <w:szCs w:val="28"/>
          <w:lang w:val="en-US"/>
        </w:rPr>
      </w:pPr>
      <w:r w:rsidRPr="00DD57D2">
        <w:rPr>
          <w:bCs/>
          <w:sz w:val="28"/>
          <w:szCs w:val="28"/>
          <w:lang w:val="en-US"/>
        </w:rPr>
        <w:tab/>
        <w:t>- Ngân sách nhà nước không hỗ trợ đối với đơn vị sự nghiệp công lập tự đảm bảo chi thường xuyên (trừ kinh phí đối với nhiệm vụ do Nhà nước đặt hàng, đấu thầu hoặc giao nhiệm vụ theo quy định).</w:t>
      </w:r>
    </w:p>
    <w:p w:rsidR="00D6235E" w:rsidRPr="00DD57D2" w:rsidRDefault="00D6235E" w:rsidP="00B177B9">
      <w:pPr>
        <w:spacing w:after="120"/>
        <w:ind w:firstLine="720"/>
        <w:jc w:val="both"/>
        <w:rPr>
          <w:bCs/>
          <w:sz w:val="28"/>
          <w:szCs w:val="28"/>
          <w:lang w:val="en-US"/>
        </w:rPr>
      </w:pPr>
      <w:r w:rsidRPr="00DD57D2">
        <w:rPr>
          <w:bCs/>
          <w:sz w:val="28"/>
          <w:szCs w:val="28"/>
          <w:lang w:val="en-US"/>
        </w:rPr>
        <w:t xml:space="preserve">- Định mức phân bổ </w:t>
      </w:r>
      <w:r w:rsidR="003555CA" w:rsidRPr="00DD57D2">
        <w:rPr>
          <w:bCs/>
          <w:sz w:val="28"/>
          <w:szCs w:val="28"/>
          <w:lang w:val="en-US"/>
        </w:rPr>
        <w:t xml:space="preserve">theo Quy định này </w:t>
      </w:r>
      <w:r w:rsidRPr="00DD57D2">
        <w:rPr>
          <w:bCs/>
          <w:sz w:val="28"/>
          <w:szCs w:val="28"/>
          <w:lang w:val="en-US"/>
        </w:rPr>
        <w:t xml:space="preserve">là khoản ngân sách đảm bảo đối với các đơn vị </w:t>
      </w:r>
      <w:r w:rsidR="00F43C10">
        <w:rPr>
          <w:bCs/>
          <w:sz w:val="28"/>
          <w:szCs w:val="28"/>
          <w:lang w:val="en-US"/>
        </w:rPr>
        <w:t xml:space="preserve">được </w:t>
      </w:r>
      <w:r w:rsidRPr="00DD57D2">
        <w:rPr>
          <w:bCs/>
          <w:sz w:val="28"/>
          <w:szCs w:val="28"/>
          <w:lang w:val="en-US"/>
        </w:rPr>
        <w:t>ngân</w:t>
      </w:r>
      <w:r w:rsidR="003555CA" w:rsidRPr="00DD57D2">
        <w:rPr>
          <w:bCs/>
          <w:sz w:val="28"/>
          <w:szCs w:val="28"/>
          <w:lang w:val="en-US"/>
        </w:rPr>
        <w:t xml:space="preserve"> </w:t>
      </w:r>
      <w:r w:rsidRPr="00DD57D2">
        <w:rPr>
          <w:bCs/>
          <w:sz w:val="28"/>
          <w:szCs w:val="28"/>
          <w:lang w:val="en-US"/>
        </w:rPr>
        <w:t xml:space="preserve">sách </w:t>
      </w:r>
      <w:r w:rsidR="00C9304F">
        <w:rPr>
          <w:bCs/>
          <w:sz w:val="28"/>
          <w:szCs w:val="28"/>
          <w:lang w:val="en-US"/>
        </w:rPr>
        <w:t xml:space="preserve">nhà nước </w:t>
      </w:r>
      <w:r w:rsidRPr="00DD57D2">
        <w:rPr>
          <w:bCs/>
          <w:sz w:val="28"/>
          <w:szCs w:val="28"/>
          <w:lang w:val="en-US"/>
        </w:rPr>
        <w:t xml:space="preserve">đảm bảo </w:t>
      </w:r>
      <w:r w:rsidR="00C9304F">
        <w:rPr>
          <w:bCs/>
          <w:sz w:val="28"/>
          <w:szCs w:val="28"/>
          <w:lang w:val="en-US"/>
        </w:rPr>
        <w:t>chi thường xuyên</w:t>
      </w:r>
      <w:r w:rsidR="00F43C10">
        <w:rPr>
          <w:bCs/>
          <w:sz w:val="28"/>
          <w:szCs w:val="28"/>
          <w:lang w:val="en-US"/>
        </w:rPr>
        <w:t xml:space="preserve"> 100%</w:t>
      </w:r>
      <w:r w:rsidRPr="00DD57D2">
        <w:rPr>
          <w:bCs/>
          <w:sz w:val="28"/>
          <w:szCs w:val="28"/>
          <w:lang w:val="en-US"/>
        </w:rPr>
        <w:t>. Tùy theo từng tính chất, đặc thù, nhiệm vụ hoạt động và khả</w:t>
      </w:r>
      <w:r w:rsidR="003555CA" w:rsidRPr="00DD57D2">
        <w:rPr>
          <w:bCs/>
          <w:sz w:val="28"/>
          <w:szCs w:val="28"/>
          <w:lang w:val="en-US"/>
        </w:rPr>
        <w:t xml:space="preserve"> </w:t>
      </w:r>
      <w:r w:rsidRPr="00DD57D2">
        <w:rPr>
          <w:bCs/>
          <w:sz w:val="28"/>
          <w:szCs w:val="28"/>
          <w:lang w:val="en-US"/>
        </w:rPr>
        <w:t>năng thu từ hoạt động sự nghiệp theo quy định của từng đơn vị, sẽ được tính toán cụ</w:t>
      </w:r>
      <w:r w:rsidR="003555CA" w:rsidRPr="00DD57D2">
        <w:rPr>
          <w:bCs/>
          <w:sz w:val="28"/>
          <w:szCs w:val="28"/>
          <w:lang w:val="en-US"/>
        </w:rPr>
        <w:t xml:space="preserve"> </w:t>
      </w:r>
      <w:r w:rsidRPr="00DD57D2">
        <w:rPr>
          <w:bCs/>
          <w:sz w:val="28"/>
          <w:szCs w:val="28"/>
          <w:lang w:val="en-US"/>
        </w:rPr>
        <w:t>thể đảm bảo cân đối chi ngân sách bằng định mức chung đối với từng loại hình đơn</w:t>
      </w:r>
      <w:r w:rsidR="003555CA" w:rsidRPr="00DD57D2">
        <w:rPr>
          <w:bCs/>
          <w:sz w:val="28"/>
          <w:szCs w:val="28"/>
          <w:lang w:val="en-US"/>
        </w:rPr>
        <w:t xml:space="preserve"> </w:t>
      </w:r>
      <w:r w:rsidRPr="00DD57D2">
        <w:rPr>
          <w:bCs/>
          <w:sz w:val="28"/>
          <w:szCs w:val="28"/>
          <w:lang w:val="en-US"/>
        </w:rPr>
        <w:t xml:space="preserve">vị. </w:t>
      </w:r>
    </w:p>
    <w:p w:rsidR="00DE620B" w:rsidRPr="00DD57D2" w:rsidRDefault="00BE76A4" w:rsidP="00BE76A4">
      <w:pPr>
        <w:spacing w:after="120"/>
        <w:ind w:firstLine="720"/>
        <w:jc w:val="both"/>
        <w:rPr>
          <w:bCs/>
          <w:sz w:val="28"/>
          <w:szCs w:val="28"/>
          <w:lang w:val="en-US"/>
        </w:rPr>
      </w:pPr>
      <w:r w:rsidRPr="00DD57D2">
        <w:rPr>
          <w:bCs/>
          <w:sz w:val="28"/>
          <w:szCs w:val="28"/>
          <w:lang w:val="en-US"/>
        </w:rPr>
        <w:t xml:space="preserve">- Đối với đơn vị sự nghiệp công lập tự đảm bảo một phần chi thường xuyên: Khuyến khích tăng dần mức độ tự chủ; từ năm 2022 </w:t>
      </w:r>
      <w:r w:rsidR="00990347" w:rsidRPr="00DD57D2">
        <w:rPr>
          <w:bCs/>
          <w:sz w:val="28"/>
          <w:szCs w:val="28"/>
          <w:lang w:val="en-US"/>
        </w:rPr>
        <w:t xml:space="preserve">thực hiện </w:t>
      </w:r>
      <w:r w:rsidRPr="00DD57D2">
        <w:rPr>
          <w:bCs/>
          <w:sz w:val="28"/>
          <w:szCs w:val="28"/>
          <w:lang w:val="en-US"/>
        </w:rPr>
        <w:t xml:space="preserve">giảm chi hỗ trợ từ </w:t>
      </w:r>
      <w:r w:rsidR="00487F98" w:rsidRPr="00DD57D2">
        <w:rPr>
          <w:bCs/>
          <w:sz w:val="28"/>
          <w:szCs w:val="28"/>
          <w:lang w:val="en-US"/>
        </w:rPr>
        <w:lastRenderedPageBreak/>
        <w:t>NSNN</w:t>
      </w:r>
      <w:r w:rsidRPr="00DD57D2">
        <w:rPr>
          <w:bCs/>
          <w:sz w:val="28"/>
          <w:szCs w:val="28"/>
          <w:lang w:val="en-US"/>
        </w:rPr>
        <w:t xml:space="preserve"> cho các đơn vị này 10%/năm (ngoài các khoản chi lương, chi có tính chất lương và chi cho con người).</w:t>
      </w:r>
      <w:r w:rsidR="00990347" w:rsidRPr="00DD57D2">
        <w:rPr>
          <w:bCs/>
          <w:sz w:val="28"/>
          <w:szCs w:val="28"/>
          <w:lang w:val="en-US"/>
        </w:rPr>
        <w:t xml:space="preserve"> </w:t>
      </w:r>
      <w:r w:rsidR="00DE620B" w:rsidRPr="00DD57D2">
        <w:rPr>
          <w:bCs/>
          <w:sz w:val="28"/>
          <w:szCs w:val="28"/>
          <w:lang w:val="en-US"/>
        </w:rPr>
        <w:t>Cơ quan quản lý cấp trên thực hiện sắp xếp tổ chức lại hoặc giải thể các đơn vị sự nghiệp công hoạt động không hiệu quả theo quy định của Chính phủ về thành lập, tổ chức lại, giải thể đơn vị sự nghiệp công lập.</w:t>
      </w:r>
    </w:p>
    <w:p w:rsidR="00BE76A4" w:rsidRPr="00BF40BF" w:rsidRDefault="00BE76A4" w:rsidP="00BE76A4">
      <w:pPr>
        <w:jc w:val="center"/>
        <w:rPr>
          <w:b/>
          <w:bCs/>
          <w:sz w:val="28"/>
          <w:szCs w:val="28"/>
          <w:lang w:val="en-US"/>
        </w:rPr>
      </w:pPr>
      <w:r w:rsidRPr="00BF40BF">
        <w:rPr>
          <w:b/>
          <w:bCs/>
          <w:sz w:val="28"/>
          <w:szCs w:val="28"/>
          <w:lang w:val="en-US"/>
        </w:rPr>
        <w:t>Chương II</w:t>
      </w:r>
    </w:p>
    <w:p w:rsidR="00BE76A4" w:rsidRPr="00BF40BF" w:rsidRDefault="00BE76A4" w:rsidP="00BE76A4">
      <w:pPr>
        <w:jc w:val="center"/>
        <w:rPr>
          <w:b/>
          <w:bCs/>
          <w:sz w:val="28"/>
          <w:szCs w:val="28"/>
          <w:lang w:val="en-US"/>
        </w:rPr>
      </w:pPr>
      <w:r w:rsidRPr="00BF40BF">
        <w:rPr>
          <w:b/>
          <w:bCs/>
          <w:sz w:val="28"/>
          <w:szCs w:val="28"/>
          <w:lang w:val="en-US"/>
        </w:rPr>
        <w:t>ĐỊNH MỨC PHÂN BỔ CHI THƯỜNG XUYÊN</w:t>
      </w:r>
    </w:p>
    <w:p w:rsidR="00BE76A4" w:rsidRPr="00BF40BF" w:rsidRDefault="00BE76A4" w:rsidP="00BE76A4">
      <w:pPr>
        <w:jc w:val="center"/>
        <w:rPr>
          <w:b/>
          <w:bCs/>
          <w:sz w:val="28"/>
          <w:szCs w:val="28"/>
          <w:lang w:val="en-US"/>
        </w:rPr>
      </w:pPr>
      <w:r w:rsidRPr="00BF40BF">
        <w:rPr>
          <w:b/>
          <w:bCs/>
          <w:sz w:val="28"/>
          <w:szCs w:val="28"/>
          <w:lang w:val="en-US"/>
        </w:rPr>
        <w:t>NGÂN SÁCH ĐỊA PHƯƠNG NĂM 2022</w:t>
      </w:r>
    </w:p>
    <w:p w:rsidR="00BE76A4" w:rsidRPr="00BF40BF" w:rsidRDefault="00BE76A4" w:rsidP="00BE76A4">
      <w:pPr>
        <w:spacing w:after="120"/>
        <w:jc w:val="both"/>
        <w:rPr>
          <w:b/>
          <w:bCs/>
          <w:sz w:val="28"/>
          <w:szCs w:val="28"/>
          <w:lang w:val="en-US"/>
        </w:rPr>
      </w:pPr>
      <w:r w:rsidRPr="00BF40BF">
        <w:rPr>
          <w:b/>
          <w:bCs/>
          <w:sz w:val="28"/>
          <w:szCs w:val="28"/>
          <w:lang w:val="en-US"/>
        </w:rPr>
        <w:tab/>
      </w:r>
    </w:p>
    <w:p w:rsidR="00BE76A4" w:rsidRPr="00BF40BF" w:rsidRDefault="00BE76A4" w:rsidP="00BE76A4">
      <w:pPr>
        <w:spacing w:after="120"/>
        <w:ind w:firstLine="720"/>
        <w:jc w:val="both"/>
        <w:rPr>
          <w:b/>
          <w:sz w:val="28"/>
          <w:szCs w:val="28"/>
        </w:rPr>
      </w:pPr>
      <w:r w:rsidRPr="00BF40BF">
        <w:rPr>
          <w:b/>
          <w:bCs/>
          <w:sz w:val="28"/>
          <w:szCs w:val="28"/>
          <w:lang w:val="en-US"/>
        </w:rPr>
        <w:t xml:space="preserve">Điều 3. </w:t>
      </w:r>
      <w:bookmarkEnd w:id="5"/>
      <w:r w:rsidRPr="00BF40BF">
        <w:rPr>
          <w:b/>
          <w:sz w:val="28"/>
          <w:szCs w:val="28"/>
          <w:lang w:val="en-US"/>
        </w:rPr>
        <w:t>C</w:t>
      </w:r>
      <w:r w:rsidRPr="00BF40BF">
        <w:rPr>
          <w:b/>
          <w:sz w:val="28"/>
          <w:szCs w:val="28"/>
        </w:rPr>
        <w:t>hi quản lý hành chính, Đảng, đoàn thể</w:t>
      </w:r>
    </w:p>
    <w:p w:rsidR="00BE76A4" w:rsidRPr="00CC70BB" w:rsidRDefault="00BE76A4" w:rsidP="00BE76A4">
      <w:pPr>
        <w:spacing w:after="120"/>
        <w:ind w:firstLine="720"/>
        <w:rPr>
          <w:sz w:val="28"/>
          <w:szCs w:val="28"/>
        </w:rPr>
      </w:pPr>
      <w:r w:rsidRPr="00CC70BB">
        <w:rPr>
          <w:sz w:val="28"/>
          <w:szCs w:val="28"/>
        </w:rPr>
        <w:t>1. Cấp tỉnh</w:t>
      </w:r>
    </w:p>
    <w:p w:rsidR="00BE76A4" w:rsidRPr="00BF40BF" w:rsidRDefault="00BE76A4" w:rsidP="00BE76A4">
      <w:pPr>
        <w:spacing w:after="120"/>
        <w:ind w:firstLine="720"/>
        <w:jc w:val="both"/>
        <w:rPr>
          <w:bCs/>
          <w:sz w:val="28"/>
          <w:szCs w:val="28"/>
          <w:lang w:val="en-US"/>
        </w:rPr>
      </w:pPr>
      <w:r w:rsidRPr="00BF40BF">
        <w:rPr>
          <w:bCs/>
          <w:sz w:val="28"/>
          <w:szCs w:val="28"/>
          <w:lang w:val="en-US"/>
        </w:rPr>
        <w:t>1.1. Định mức chi khác tính theo biên chế được giao:</w:t>
      </w:r>
    </w:p>
    <w:tbl>
      <w:tblPr>
        <w:tblW w:w="906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653"/>
        <w:gridCol w:w="4409"/>
      </w:tblGrid>
      <w:tr w:rsidR="00BE76A4" w:rsidRPr="003A7214" w:rsidTr="004D4B85">
        <w:trPr>
          <w:jc w:val="center"/>
        </w:trPr>
        <w:tc>
          <w:tcPr>
            <w:tcW w:w="465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center"/>
              <w:rPr>
                <w:b/>
                <w:sz w:val="28"/>
                <w:lang w:val="en-US"/>
              </w:rPr>
            </w:pPr>
            <w:r w:rsidRPr="003A7214">
              <w:rPr>
                <w:b/>
                <w:sz w:val="28"/>
                <w:lang w:val="en-US"/>
              </w:rPr>
              <w:t>Chỉ tiêu</w:t>
            </w:r>
          </w:p>
        </w:tc>
        <w:tc>
          <w:tcPr>
            <w:tcW w:w="440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center"/>
              <w:rPr>
                <w:b/>
                <w:sz w:val="28"/>
                <w:lang w:val="en-US"/>
              </w:rPr>
            </w:pPr>
            <w:r w:rsidRPr="003A7214">
              <w:rPr>
                <w:b/>
                <w:sz w:val="28"/>
                <w:lang w:val="en-US"/>
              </w:rPr>
              <w:t>Định mức phân bổ</w:t>
            </w:r>
          </w:p>
        </w:tc>
      </w:tr>
      <w:tr w:rsidR="00BE76A4" w:rsidRPr="00BF40BF" w:rsidTr="004D4B85">
        <w:tblPrEx>
          <w:tblBorders>
            <w:top w:val="none" w:sz="0" w:space="0" w:color="auto"/>
            <w:bottom w:val="none" w:sz="0" w:space="0" w:color="auto"/>
            <w:insideH w:val="none" w:sz="0" w:space="0" w:color="auto"/>
            <w:insideV w:val="none" w:sz="0" w:space="0" w:color="auto"/>
          </w:tblBorders>
        </w:tblPrEx>
        <w:trPr>
          <w:jc w:val="center"/>
        </w:trPr>
        <w:tc>
          <w:tcPr>
            <w:tcW w:w="465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both"/>
              <w:rPr>
                <w:sz w:val="28"/>
                <w:lang w:val="en-US"/>
              </w:rPr>
            </w:pPr>
            <w:r w:rsidRPr="003A7214">
              <w:rPr>
                <w:sz w:val="28"/>
                <w:lang w:val="en-US"/>
              </w:rPr>
              <w:t>- Dưới 10 biên chế</w:t>
            </w:r>
          </w:p>
        </w:tc>
        <w:tc>
          <w:tcPr>
            <w:tcW w:w="44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6F6EB4" w:rsidRDefault="004134B8" w:rsidP="004134B8">
            <w:pPr>
              <w:spacing w:before="20" w:after="20"/>
              <w:ind w:left="142" w:right="142"/>
              <w:jc w:val="both"/>
              <w:rPr>
                <w:color w:val="FF0000"/>
                <w:sz w:val="28"/>
                <w:lang w:val="en-US"/>
              </w:rPr>
            </w:pPr>
            <w:r>
              <w:rPr>
                <w:sz w:val="28"/>
                <w:szCs w:val="28"/>
              </w:rPr>
              <w:t xml:space="preserve">22,8 </w:t>
            </w:r>
            <w:r w:rsidR="00686C6B" w:rsidRPr="006F6EB4">
              <w:rPr>
                <w:color w:val="FF0000"/>
                <w:sz w:val="28"/>
                <w:lang w:val="en-US"/>
              </w:rPr>
              <w:t>triệu đồng/biên chế/năm</w:t>
            </w:r>
          </w:p>
        </w:tc>
      </w:tr>
      <w:tr w:rsidR="00BE76A4" w:rsidRPr="00BF40BF" w:rsidTr="004D4B85">
        <w:tblPrEx>
          <w:tblBorders>
            <w:top w:val="none" w:sz="0" w:space="0" w:color="auto"/>
            <w:bottom w:val="none" w:sz="0" w:space="0" w:color="auto"/>
            <w:insideH w:val="none" w:sz="0" w:space="0" w:color="auto"/>
            <w:insideV w:val="none" w:sz="0" w:space="0" w:color="auto"/>
          </w:tblBorders>
        </w:tblPrEx>
        <w:trPr>
          <w:jc w:val="center"/>
        </w:trPr>
        <w:tc>
          <w:tcPr>
            <w:tcW w:w="465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both"/>
              <w:rPr>
                <w:sz w:val="28"/>
                <w:lang w:val="en-US"/>
              </w:rPr>
            </w:pPr>
            <w:r w:rsidRPr="003A7214">
              <w:rPr>
                <w:sz w:val="28"/>
                <w:lang w:val="en-US"/>
              </w:rPr>
              <w:t>- Từ 10 đến dưới 20 biên chế</w:t>
            </w:r>
          </w:p>
        </w:tc>
        <w:tc>
          <w:tcPr>
            <w:tcW w:w="44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6F6EB4" w:rsidRDefault="004134B8" w:rsidP="003A7214">
            <w:pPr>
              <w:spacing w:before="20" w:after="20"/>
              <w:ind w:left="142" w:right="142"/>
              <w:jc w:val="both"/>
              <w:rPr>
                <w:color w:val="FF0000"/>
                <w:sz w:val="28"/>
                <w:lang w:val="en-US"/>
              </w:rPr>
            </w:pPr>
            <w:r>
              <w:rPr>
                <w:color w:val="FF0000"/>
                <w:sz w:val="28"/>
                <w:lang w:val="en-US"/>
              </w:rPr>
              <w:t>22</w:t>
            </w:r>
            <w:r w:rsidR="00686C6B" w:rsidRPr="006F6EB4">
              <w:rPr>
                <w:color w:val="FF0000"/>
                <w:sz w:val="28"/>
                <w:lang w:val="en-US"/>
              </w:rPr>
              <w:t xml:space="preserve"> triệu đồng/biên chế/năm</w:t>
            </w:r>
          </w:p>
        </w:tc>
      </w:tr>
      <w:tr w:rsidR="00BE76A4" w:rsidRPr="00BF40BF" w:rsidTr="004D4B85">
        <w:tblPrEx>
          <w:tblBorders>
            <w:top w:val="none" w:sz="0" w:space="0" w:color="auto"/>
            <w:bottom w:val="none" w:sz="0" w:space="0" w:color="auto"/>
            <w:insideH w:val="none" w:sz="0" w:space="0" w:color="auto"/>
            <w:insideV w:val="none" w:sz="0" w:space="0" w:color="auto"/>
          </w:tblBorders>
        </w:tblPrEx>
        <w:trPr>
          <w:jc w:val="center"/>
        </w:trPr>
        <w:tc>
          <w:tcPr>
            <w:tcW w:w="465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both"/>
              <w:rPr>
                <w:sz w:val="28"/>
                <w:lang w:val="en-US"/>
              </w:rPr>
            </w:pPr>
            <w:r w:rsidRPr="003A7214">
              <w:rPr>
                <w:sz w:val="28"/>
                <w:lang w:val="en-US"/>
              </w:rPr>
              <w:t>- Từ 20 đến dưới 30 biên chế</w:t>
            </w:r>
          </w:p>
        </w:tc>
        <w:tc>
          <w:tcPr>
            <w:tcW w:w="44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6F6EB4" w:rsidRDefault="004134B8" w:rsidP="003A7214">
            <w:pPr>
              <w:spacing w:before="20" w:after="20"/>
              <w:ind w:left="142" w:right="142"/>
              <w:jc w:val="both"/>
              <w:rPr>
                <w:color w:val="FF0000"/>
                <w:sz w:val="28"/>
                <w:lang w:val="en-US"/>
              </w:rPr>
            </w:pPr>
            <w:r>
              <w:rPr>
                <w:color w:val="FF0000"/>
                <w:sz w:val="28"/>
                <w:lang w:val="en-US"/>
              </w:rPr>
              <w:t>21,2</w:t>
            </w:r>
            <w:r w:rsidR="00686C6B" w:rsidRPr="006F6EB4">
              <w:rPr>
                <w:color w:val="FF0000"/>
                <w:sz w:val="28"/>
                <w:lang w:val="en-US"/>
              </w:rPr>
              <w:t xml:space="preserve"> triệu đồng/biên chế/năm</w:t>
            </w:r>
          </w:p>
        </w:tc>
      </w:tr>
      <w:tr w:rsidR="00BE76A4" w:rsidRPr="00BF40BF" w:rsidTr="004D4B85">
        <w:tblPrEx>
          <w:tblBorders>
            <w:top w:val="none" w:sz="0" w:space="0" w:color="auto"/>
            <w:bottom w:val="none" w:sz="0" w:space="0" w:color="auto"/>
            <w:insideH w:val="none" w:sz="0" w:space="0" w:color="auto"/>
            <w:insideV w:val="none" w:sz="0" w:space="0" w:color="auto"/>
          </w:tblBorders>
        </w:tblPrEx>
        <w:trPr>
          <w:jc w:val="center"/>
        </w:trPr>
        <w:tc>
          <w:tcPr>
            <w:tcW w:w="465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A7214" w:rsidRDefault="00BE76A4" w:rsidP="003A7214">
            <w:pPr>
              <w:spacing w:before="20" w:after="20"/>
              <w:ind w:left="142" w:right="142"/>
              <w:jc w:val="both"/>
              <w:rPr>
                <w:sz w:val="28"/>
                <w:lang w:val="en-US"/>
              </w:rPr>
            </w:pPr>
            <w:r w:rsidRPr="003A7214">
              <w:rPr>
                <w:sz w:val="28"/>
                <w:lang w:val="en-US"/>
              </w:rPr>
              <w:t>- Từ 30 biên chế</w:t>
            </w:r>
          </w:p>
        </w:tc>
        <w:tc>
          <w:tcPr>
            <w:tcW w:w="4409"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6F6EB4" w:rsidRDefault="004134B8" w:rsidP="003A7214">
            <w:pPr>
              <w:spacing w:before="20" w:after="20"/>
              <w:ind w:left="142" w:right="142"/>
              <w:jc w:val="both"/>
              <w:rPr>
                <w:color w:val="FF0000"/>
                <w:sz w:val="28"/>
                <w:lang w:val="en-US"/>
              </w:rPr>
            </w:pPr>
            <w:r>
              <w:rPr>
                <w:color w:val="FF0000"/>
                <w:sz w:val="28"/>
                <w:lang w:val="en-US"/>
              </w:rPr>
              <w:t>20,6</w:t>
            </w:r>
            <w:r w:rsidR="00686C6B" w:rsidRPr="006F6EB4">
              <w:rPr>
                <w:color w:val="FF0000"/>
                <w:sz w:val="28"/>
                <w:lang w:val="en-US"/>
              </w:rPr>
              <w:t xml:space="preserve"> triệu đồng/biên chế/năm</w:t>
            </w:r>
          </w:p>
        </w:tc>
      </w:tr>
    </w:tbl>
    <w:p w:rsidR="00BE76A4" w:rsidRPr="004D4B85" w:rsidRDefault="00BE76A4" w:rsidP="004134B8">
      <w:pPr>
        <w:spacing w:before="120" w:after="120"/>
        <w:rPr>
          <w:sz w:val="28"/>
          <w:szCs w:val="28"/>
          <w:lang w:val="en-US"/>
        </w:rPr>
      </w:pPr>
      <w:r w:rsidRPr="004D4B85">
        <w:rPr>
          <w:sz w:val="28"/>
          <w:szCs w:val="28"/>
        </w:rPr>
        <w:tab/>
      </w:r>
      <w:r w:rsidRPr="004D4B85">
        <w:rPr>
          <w:sz w:val="28"/>
          <w:szCs w:val="28"/>
          <w:lang w:val="en-US"/>
        </w:rPr>
        <w:t xml:space="preserve">a) Định mức phân bổ </w:t>
      </w:r>
      <w:r w:rsidRPr="004D4B85">
        <w:rPr>
          <w:rStyle w:val="fontstyle01"/>
          <w:rFonts w:eastAsia="SimSun"/>
          <w:color w:val="auto"/>
        </w:rPr>
        <w:t>đã bao gồm</w:t>
      </w:r>
      <w:r w:rsidRPr="004D4B85">
        <w:rPr>
          <w:sz w:val="28"/>
          <w:szCs w:val="28"/>
          <w:lang w:val="en-US"/>
        </w:rPr>
        <w:t>:</w:t>
      </w:r>
    </w:p>
    <w:p w:rsidR="00BE76A4" w:rsidRPr="004D4B85" w:rsidRDefault="00BE76A4" w:rsidP="00BE76A4">
      <w:pPr>
        <w:spacing w:after="120"/>
        <w:ind w:firstLine="720"/>
        <w:jc w:val="both"/>
        <w:rPr>
          <w:sz w:val="28"/>
          <w:szCs w:val="28"/>
        </w:rPr>
      </w:pPr>
      <w:r w:rsidRPr="004D4B85">
        <w:rPr>
          <w:sz w:val="28"/>
          <w:szCs w:val="28"/>
        </w:rPr>
        <w:t>- Các khoản chi hành chính phục vụ hoạt động thường xuyên bộ máy các cơ quan: Khen thưởng theo chế độ, phúc lợi tập thể, thông tin liên lạc, công tác phí, hội nghị, tổng kết, đoàn ra, đoàn vào, văn phòng phẩm, điện nước, xăng dầu,...</w:t>
      </w:r>
    </w:p>
    <w:p w:rsidR="00BE76A4" w:rsidRPr="004D4B85" w:rsidRDefault="00BE76A4" w:rsidP="00BE76A4">
      <w:pPr>
        <w:spacing w:after="120"/>
        <w:ind w:firstLine="720"/>
        <w:jc w:val="both"/>
        <w:rPr>
          <w:sz w:val="28"/>
          <w:szCs w:val="28"/>
        </w:rPr>
      </w:pPr>
      <w:r w:rsidRPr="004D4B85">
        <w:rPr>
          <w:sz w:val="28"/>
          <w:szCs w:val="28"/>
        </w:rPr>
        <w:t xml:space="preserve">- Các khoản chi nghiệp vụ mang tính thường xuyên phát sinh hàng năm: Chi nghiệp vụ chuyên môn của các ngành, chi tập huấn bồi dưỡng nghiệp vụ chuyên môn; chi quản lý ngành, lĩnh vực; chi thực hiện công tác quản lý ngành, lĩnh vực; chi công tác tuyên truyền phổ biến giáo dục pháp luật; </w:t>
      </w:r>
      <w:r w:rsidRPr="004D4B85">
        <w:rPr>
          <w:rStyle w:val="fontstyle01"/>
          <w:rFonts w:eastAsia="SimSun"/>
          <w:color w:val="auto"/>
        </w:rPr>
        <w:t>rà soát văn bản quy phạm pháp luật</w:t>
      </w:r>
      <w:r w:rsidRPr="004D4B85">
        <w:rPr>
          <w:rStyle w:val="fontstyle01"/>
          <w:rFonts w:eastAsia="SimSun"/>
          <w:color w:val="auto"/>
          <w:lang w:val="en-US"/>
        </w:rPr>
        <w:t xml:space="preserve"> </w:t>
      </w:r>
      <w:r w:rsidRPr="004D4B85">
        <w:rPr>
          <w:rStyle w:val="fontstyle01"/>
          <w:rFonts w:eastAsia="SimSun"/>
          <w:color w:val="auto"/>
        </w:rPr>
        <w:t>...</w:t>
      </w:r>
    </w:p>
    <w:p w:rsidR="00BE76A4" w:rsidRDefault="00BE76A4" w:rsidP="00BE76A4">
      <w:pPr>
        <w:spacing w:after="120"/>
        <w:ind w:firstLine="720"/>
        <w:jc w:val="both"/>
        <w:rPr>
          <w:sz w:val="28"/>
          <w:szCs w:val="28"/>
        </w:rPr>
      </w:pPr>
      <w:r w:rsidRPr="004D4B85">
        <w:rPr>
          <w:sz w:val="28"/>
          <w:szCs w:val="28"/>
        </w:rPr>
        <w:t xml:space="preserve">- </w:t>
      </w:r>
      <w:r w:rsidRPr="004D4B85">
        <w:rPr>
          <w:rStyle w:val="fontstyle01"/>
          <w:rFonts w:eastAsia="SimSun"/>
          <w:color w:val="auto"/>
        </w:rPr>
        <w:t>Các khoản chi mua sắm công cụ, dụng cụ; kinh phí sửa chữa thường xuyên</w:t>
      </w:r>
      <w:r w:rsidRPr="004D4B85">
        <w:rPr>
          <w:rStyle w:val="fontstyle01"/>
          <w:rFonts w:eastAsia="SimSun"/>
          <w:color w:val="auto"/>
          <w:lang w:val="en-US"/>
        </w:rPr>
        <w:t xml:space="preserve"> </w:t>
      </w:r>
      <w:r>
        <w:rPr>
          <w:rStyle w:val="fontstyle01"/>
          <w:rFonts w:eastAsia="SimSun"/>
        </w:rPr>
        <w:t>tài sản.</w:t>
      </w:r>
      <w:r>
        <w:t xml:space="preserve"> </w:t>
      </w:r>
    </w:p>
    <w:p w:rsidR="00BE76A4" w:rsidRPr="00BF40BF" w:rsidRDefault="00BE76A4" w:rsidP="00BE76A4">
      <w:pPr>
        <w:spacing w:after="120"/>
        <w:ind w:firstLine="720"/>
        <w:rPr>
          <w:sz w:val="28"/>
          <w:szCs w:val="28"/>
          <w:lang w:val="en-US"/>
        </w:rPr>
      </w:pPr>
      <w:r w:rsidRPr="00BF40BF">
        <w:rPr>
          <w:sz w:val="28"/>
          <w:szCs w:val="28"/>
          <w:lang w:val="en-US"/>
        </w:rPr>
        <w:t>b) Định mức phân bổ không bao gồm:</w:t>
      </w:r>
    </w:p>
    <w:p w:rsidR="00BE76A4" w:rsidRPr="00BF40BF" w:rsidRDefault="00BE76A4" w:rsidP="00BE76A4">
      <w:pPr>
        <w:spacing w:after="120"/>
        <w:ind w:firstLine="720"/>
        <w:jc w:val="both"/>
        <w:rPr>
          <w:sz w:val="28"/>
          <w:szCs w:val="28"/>
        </w:rPr>
      </w:pPr>
      <w:r w:rsidRPr="00BF40BF">
        <w:rPr>
          <w:sz w:val="28"/>
          <w:szCs w:val="28"/>
        </w:rPr>
        <w:t>- Chi thực hiện các nhiệm vụ chuyên môn đặc thù của từng ngành, đơn vị được cấp có thẩm quyền giao; chi hoạt động của các Ban Chỉ đạo cấp tỉnh; chi xây dựng văn bản quy phạm pháp pháp luật.</w:t>
      </w:r>
    </w:p>
    <w:p w:rsidR="00BE76A4" w:rsidRPr="00BF40BF" w:rsidRDefault="00BE76A4" w:rsidP="00BE76A4">
      <w:pPr>
        <w:spacing w:after="120"/>
        <w:ind w:firstLine="720"/>
        <w:jc w:val="both"/>
        <w:rPr>
          <w:sz w:val="28"/>
          <w:szCs w:val="28"/>
        </w:rPr>
      </w:pPr>
      <w:r w:rsidRPr="00BF40BF">
        <w:rPr>
          <w:sz w:val="28"/>
          <w:szCs w:val="28"/>
        </w:rPr>
        <w:t>- Chi thuê trụ sở; chi sửa chữa lớn</w:t>
      </w:r>
      <w:r w:rsidR="00F77797">
        <w:rPr>
          <w:sz w:val="28"/>
          <w:szCs w:val="28"/>
          <w:lang w:val="en-US"/>
        </w:rPr>
        <w:t>;</w:t>
      </w:r>
      <w:r w:rsidRPr="00BF40BF">
        <w:rPr>
          <w:sz w:val="28"/>
          <w:szCs w:val="28"/>
        </w:rPr>
        <w:t xml:space="preserve"> mua sắm máy móc, trang thiết bị phục vụ hoạt động chung theo quy định.</w:t>
      </w:r>
    </w:p>
    <w:p w:rsidR="00BE76A4" w:rsidRDefault="00BE76A4" w:rsidP="00BE76A4">
      <w:pPr>
        <w:spacing w:after="120"/>
        <w:ind w:firstLine="720"/>
        <w:jc w:val="both"/>
        <w:rPr>
          <w:sz w:val="28"/>
          <w:szCs w:val="28"/>
        </w:rPr>
      </w:pPr>
      <w:r w:rsidRPr="00BF40BF">
        <w:rPr>
          <w:sz w:val="28"/>
          <w:szCs w:val="28"/>
        </w:rPr>
        <w:t>- Các khoản chi đặc thù mang tính chất riêng biệt của từng đơn vị và các khoản phát sinh không thường xuyên khác.</w:t>
      </w:r>
    </w:p>
    <w:p w:rsidR="00BE76A4" w:rsidRPr="00474B56" w:rsidRDefault="00E47D94" w:rsidP="00BE76A4">
      <w:pPr>
        <w:spacing w:after="120"/>
        <w:ind w:firstLine="720"/>
        <w:jc w:val="both"/>
        <w:rPr>
          <w:sz w:val="28"/>
          <w:szCs w:val="28"/>
          <w:lang w:val="en-US"/>
        </w:rPr>
      </w:pPr>
      <w:r>
        <w:rPr>
          <w:sz w:val="28"/>
          <w:szCs w:val="28"/>
          <w:lang w:val="en-US"/>
        </w:rPr>
        <w:t>1.2.</w:t>
      </w:r>
      <w:r w:rsidR="00BE76A4" w:rsidRPr="00474B56">
        <w:rPr>
          <w:sz w:val="28"/>
          <w:szCs w:val="28"/>
          <w:lang w:val="en-US"/>
        </w:rPr>
        <w:t xml:space="preserve"> Chi quản lý hành chính khác:</w:t>
      </w:r>
    </w:p>
    <w:p w:rsidR="00BE76A4" w:rsidRPr="00474B56" w:rsidRDefault="003D43F5" w:rsidP="00BE76A4">
      <w:pPr>
        <w:spacing w:after="120"/>
        <w:ind w:firstLine="720"/>
        <w:jc w:val="both"/>
        <w:rPr>
          <w:sz w:val="28"/>
          <w:szCs w:val="28"/>
          <w:lang w:val="en-US"/>
        </w:rPr>
      </w:pPr>
      <w:r w:rsidRPr="00474B56">
        <w:rPr>
          <w:sz w:val="28"/>
          <w:szCs w:val="28"/>
          <w:lang w:val="en-US"/>
        </w:rPr>
        <w:t>Theo khả năng cân đối ngân sách hàng năm, n</w:t>
      </w:r>
      <w:r w:rsidR="00BE76A4" w:rsidRPr="00474B56">
        <w:rPr>
          <w:sz w:val="28"/>
          <w:szCs w:val="28"/>
          <w:lang w:val="en-US"/>
        </w:rPr>
        <w:t>gân sách</w:t>
      </w:r>
      <w:r w:rsidR="00F77797" w:rsidRPr="00474B56">
        <w:rPr>
          <w:sz w:val="28"/>
          <w:szCs w:val="28"/>
          <w:lang w:val="en-US"/>
        </w:rPr>
        <w:t xml:space="preserve"> tỉnh</w:t>
      </w:r>
      <w:r w:rsidR="00BE76A4" w:rsidRPr="00474B56">
        <w:rPr>
          <w:sz w:val="28"/>
          <w:szCs w:val="28"/>
          <w:lang w:val="en-US"/>
        </w:rPr>
        <w:t xml:space="preserve"> dành ra khoản kinh phí để thực hiện sửa chữa lớn tài sản</w:t>
      </w:r>
      <w:r w:rsidR="008732CB" w:rsidRPr="00474B56">
        <w:rPr>
          <w:sz w:val="28"/>
          <w:szCs w:val="28"/>
          <w:lang w:val="en-US"/>
        </w:rPr>
        <w:t>, mua sắm</w:t>
      </w:r>
      <w:r w:rsidR="00C123C2" w:rsidRPr="00474B56">
        <w:rPr>
          <w:sz w:val="28"/>
          <w:szCs w:val="28"/>
          <w:lang w:val="en-US"/>
        </w:rPr>
        <w:t xml:space="preserve"> </w:t>
      </w:r>
      <w:r w:rsidR="00BE76A4" w:rsidRPr="00474B56">
        <w:rPr>
          <w:sz w:val="28"/>
          <w:szCs w:val="28"/>
          <w:lang w:val="en-US"/>
        </w:rPr>
        <w:t xml:space="preserve">… cho các đơn vị có nhu cầu; </w:t>
      </w:r>
      <w:r w:rsidR="00BE76A4" w:rsidRPr="00474B56">
        <w:rPr>
          <w:sz w:val="28"/>
          <w:szCs w:val="28"/>
          <w:lang w:val="en-US"/>
        </w:rPr>
        <w:lastRenderedPageBreak/>
        <w:t>kinh phí hỗ trợ theo nhiệm vụ cho các cơ quan làm công tác tổng hợp; kinh phí đảm bảo các nhiệm vụ phát sinh đột xuất khác trong năm.</w:t>
      </w:r>
      <w:r w:rsidR="008B1CBC" w:rsidRPr="00474B56">
        <w:rPr>
          <w:sz w:val="28"/>
          <w:szCs w:val="28"/>
          <w:lang w:val="en-US"/>
        </w:rPr>
        <w:t xml:space="preserve"> </w:t>
      </w:r>
      <w:r w:rsidR="00BE76A4" w:rsidRPr="00474B56">
        <w:rPr>
          <w:sz w:val="28"/>
        </w:rPr>
        <w:t>Trên cơ sở nhu cầu phát sinh thực tế, UBND tỉnh</w:t>
      </w:r>
      <w:r w:rsidR="00BE76A4" w:rsidRPr="00474B56">
        <w:rPr>
          <w:sz w:val="28"/>
          <w:lang w:val="en-US"/>
        </w:rPr>
        <w:t xml:space="preserve"> </w:t>
      </w:r>
      <w:r w:rsidR="00BE76A4" w:rsidRPr="00474B56">
        <w:rPr>
          <w:sz w:val="28"/>
        </w:rPr>
        <w:t xml:space="preserve">quyết định phân bổ </w:t>
      </w:r>
      <w:r w:rsidR="00E93A10" w:rsidRPr="00474B56">
        <w:rPr>
          <w:sz w:val="28"/>
          <w:lang w:val="en-US"/>
        </w:rPr>
        <w:t xml:space="preserve">kinh phí </w:t>
      </w:r>
      <w:r w:rsidR="00BE76A4" w:rsidRPr="00474B56">
        <w:rPr>
          <w:sz w:val="28"/>
        </w:rPr>
        <w:t xml:space="preserve">cụ thể cho từng </w:t>
      </w:r>
      <w:r w:rsidR="00BE76A4" w:rsidRPr="00474B56">
        <w:rPr>
          <w:sz w:val="28"/>
          <w:lang w:val="en-US"/>
        </w:rPr>
        <w:t>đơn vị</w:t>
      </w:r>
      <w:r w:rsidR="008B1CBC" w:rsidRPr="00474B56">
        <w:rPr>
          <w:sz w:val="28"/>
          <w:lang w:val="en-US"/>
        </w:rPr>
        <w:t>,</w:t>
      </w:r>
      <w:r w:rsidR="00BE76A4" w:rsidRPr="00474B56">
        <w:rPr>
          <w:sz w:val="28"/>
          <w:lang w:val="en-US"/>
        </w:rPr>
        <w:t xml:space="preserve"> địa phương </w:t>
      </w:r>
      <w:r w:rsidR="00BE76A4" w:rsidRPr="00474B56">
        <w:rPr>
          <w:sz w:val="28"/>
        </w:rPr>
        <w:t>thực hiện.</w:t>
      </w:r>
      <w:r w:rsidR="00BE76A4" w:rsidRPr="00474B56">
        <w:rPr>
          <w:sz w:val="32"/>
          <w:szCs w:val="28"/>
        </w:rPr>
        <w:t xml:space="preserve"> </w:t>
      </w:r>
    </w:p>
    <w:p w:rsidR="00BE76A4" w:rsidRPr="00BF40BF" w:rsidRDefault="00BE76A4" w:rsidP="00BE76A4">
      <w:pPr>
        <w:spacing w:after="120"/>
        <w:ind w:firstLine="720"/>
        <w:jc w:val="both"/>
        <w:rPr>
          <w:sz w:val="28"/>
          <w:szCs w:val="28"/>
        </w:rPr>
      </w:pPr>
      <w:r w:rsidRPr="00BF40BF">
        <w:rPr>
          <w:sz w:val="28"/>
          <w:szCs w:val="28"/>
        </w:rPr>
        <w:t>1.3. Đối với chi đảm bảo hoạt động của cơ quan Đảng, HĐND, UBND tỉnh: Dự toán chi ngân sách được tính toán trên cơ sở cơ sở định mức</w:t>
      </w:r>
      <w:r w:rsidR="001C4BD3">
        <w:rPr>
          <w:sz w:val="28"/>
          <w:szCs w:val="28"/>
          <w:lang w:val="en-US"/>
        </w:rPr>
        <w:t>;</w:t>
      </w:r>
      <w:r w:rsidRPr="00BF40BF">
        <w:rPr>
          <w:sz w:val="28"/>
          <w:szCs w:val="28"/>
        </w:rPr>
        <w:t xml:space="preserve"> chế độ, tiêu chuẩn và các nhiệm vụ chi đặc thù</w:t>
      </w:r>
      <w:r w:rsidRPr="00BF40BF">
        <w:rPr>
          <w:sz w:val="28"/>
          <w:szCs w:val="28"/>
          <w:lang w:val="en-US"/>
        </w:rPr>
        <w:t xml:space="preserve"> </w:t>
      </w:r>
      <w:r w:rsidRPr="00BF40BF">
        <w:rPr>
          <w:sz w:val="28"/>
          <w:szCs w:val="28"/>
        </w:rPr>
        <w:t>của các cơ quan này.</w:t>
      </w:r>
    </w:p>
    <w:p w:rsidR="00BE76A4" w:rsidRPr="001C4BD3" w:rsidRDefault="00BE76A4" w:rsidP="00BE76A4">
      <w:pPr>
        <w:spacing w:after="120"/>
        <w:ind w:firstLine="720"/>
        <w:jc w:val="both"/>
        <w:rPr>
          <w:sz w:val="28"/>
          <w:szCs w:val="28"/>
        </w:rPr>
      </w:pPr>
      <w:r w:rsidRPr="001C4BD3">
        <w:rPr>
          <w:sz w:val="28"/>
          <w:szCs w:val="28"/>
          <w:lang w:val="en-US"/>
        </w:rPr>
        <w:t xml:space="preserve">1.4. </w:t>
      </w:r>
      <w:r w:rsidRPr="001C4BD3">
        <w:rPr>
          <w:sz w:val="28"/>
          <w:szCs w:val="28"/>
        </w:rPr>
        <w:t>Các tổ chức chính trị</w:t>
      </w:r>
      <w:r w:rsidRPr="001C4BD3">
        <w:rPr>
          <w:sz w:val="28"/>
          <w:szCs w:val="28"/>
          <w:lang w:val="en-US"/>
        </w:rPr>
        <w:t xml:space="preserve"> </w:t>
      </w:r>
      <w:r w:rsidRPr="001C4BD3">
        <w:rPr>
          <w:sz w:val="28"/>
          <w:szCs w:val="28"/>
        </w:rPr>
        <w:t xml:space="preserve">- xã hội: Ủy ban Mặt trận Tổ quốc, Hội Cựu chiến binh, Hội Liên hiệp Phụ nữ, Hội Nông dân, Đoàn Thanh niên Cộng sản Hồ Chí Minh được áp dụng định mức phân bổ trên, trên cơ sở biên chế hiện có và các nhiệm vụ chi đặc thù của các cơ quan này để tính dự toán ngân sách. </w:t>
      </w:r>
    </w:p>
    <w:p w:rsidR="00BE76A4" w:rsidRDefault="00BE76A4" w:rsidP="00BE76A4">
      <w:pPr>
        <w:spacing w:after="120"/>
        <w:ind w:firstLine="720"/>
        <w:jc w:val="both"/>
        <w:rPr>
          <w:rStyle w:val="fontstyle01"/>
          <w:rFonts w:eastAsia="SimSun"/>
        </w:rPr>
      </w:pPr>
      <w:r>
        <w:rPr>
          <w:rStyle w:val="fontstyle01"/>
          <w:rFonts w:eastAsia="SimSun"/>
        </w:rPr>
        <w:t>1.</w:t>
      </w:r>
      <w:r>
        <w:rPr>
          <w:rStyle w:val="fontstyle01"/>
          <w:rFonts w:eastAsia="SimSun"/>
          <w:lang w:val="en-US"/>
        </w:rPr>
        <w:t>5</w:t>
      </w:r>
      <w:r>
        <w:rPr>
          <w:rStyle w:val="fontstyle01"/>
          <w:rFonts w:eastAsia="SimSun"/>
        </w:rPr>
        <w:t>. Đối với các tổ chức chính trị xã hội - nghề nghiệp, tổ chức xã hội, tổ chức</w:t>
      </w:r>
      <w:r>
        <w:rPr>
          <w:rStyle w:val="fontstyle01"/>
          <w:rFonts w:eastAsia="SimSun"/>
          <w:lang w:val="en-US"/>
        </w:rPr>
        <w:t xml:space="preserve"> </w:t>
      </w:r>
      <w:r>
        <w:rPr>
          <w:rStyle w:val="fontstyle01"/>
          <w:rFonts w:eastAsia="SimSun"/>
        </w:rPr>
        <w:t>xã hội - nghề nghiệp:</w:t>
      </w:r>
    </w:p>
    <w:p w:rsidR="00BE76A4" w:rsidRPr="00002AE0" w:rsidRDefault="00BE76A4" w:rsidP="00BE76A4">
      <w:pPr>
        <w:spacing w:after="120"/>
        <w:ind w:firstLine="720"/>
        <w:jc w:val="both"/>
        <w:rPr>
          <w:rStyle w:val="fontstyle01"/>
          <w:rFonts w:eastAsia="SimSun"/>
          <w:color w:val="auto"/>
          <w:lang w:val="en-US"/>
        </w:rPr>
      </w:pPr>
      <w:r w:rsidRPr="00002AE0">
        <w:rPr>
          <w:rStyle w:val="fontstyle01"/>
          <w:rFonts w:eastAsia="SimSun"/>
          <w:color w:val="auto"/>
          <w:lang w:val="en-US"/>
        </w:rPr>
        <w:t xml:space="preserve">a) </w:t>
      </w:r>
      <w:r w:rsidRPr="00002AE0">
        <w:rPr>
          <w:rStyle w:val="fontstyle01"/>
          <w:rFonts w:eastAsia="SimSun"/>
          <w:color w:val="auto"/>
        </w:rPr>
        <w:t xml:space="preserve">Được ngân sách nhà nước hỗ trợ theo quy định của Luật </w:t>
      </w:r>
      <w:r w:rsidR="009A426D" w:rsidRPr="00002AE0">
        <w:rPr>
          <w:rStyle w:val="fontstyle01"/>
          <w:rFonts w:eastAsia="SimSun"/>
          <w:color w:val="auto"/>
          <w:lang w:val="en-US"/>
        </w:rPr>
        <w:t>N</w:t>
      </w:r>
      <w:r w:rsidR="009A426D" w:rsidRPr="00002AE0">
        <w:rPr>
          <w:rStyle w:val="fontstyle01"/>
          <w:rFonts w:eastAsia="SimSun"/>
          <w:color w:val="auto"/>
        </w:rPr>
        <w:t xml:space="preserve">gân sách nhà nước </w:t>
      </w:r>
      <w:r w:rsidRPr="00002AE0">
        <w:rPr>
          <w:rStyle w:val="fontstyle01"/>
          <w:rFonts w:eastAsia="SimSun"/>
          <w:color w:val="auto"/>
        </w:rPr>
        <w:t>và các</w:t>
      </w:r>
      <w:r w:rsidRPr="00002AE0">
        <w:rPr>
          <w:rStyle w:val="fontstyle01"/>
          <w:rFonts w:eastAsia="SimSun"/>
          <w:color w:val="auto"/>
          <w:lang w:val="en-US"/>
        </w:rPr>
        <w:t xml:space="preserve"> </w:t>
      </w:r>
      <w:r w:rsidRPr="00002AE0">
        <w:rPr>
          <w:rStyle w:val="fontstyle01"/>
          <w:rFonts w:eastAsia="SimSun"/>
          <w:color w:val="auto"/>
        </w:rPr>
        <w:t>văn bản hướng dẫn thi hành Luật. Kinh phí hoạt động do các tổ chức này tự đảm</w:t>
      </w:r>
      <w:r w:rsidRPr="00002AE0">
        <w:rPr>
          <w:rStyle w:val="fontstyle01"/>
          <w:rFonts w:eastAsia="SimSun"/>
          <w:color w:val="auto"/>
          <w:lang w:val="en-US"/>
        </w:rPr>
        <w:t xml:space="preserve"> </w:t>
      </w:r>
      <w:r w:rsidRPr="00002AE0">
        <w:rPr>
          <w:rStyle w:val="fontstyle01"/>
          <w:rFonts w:eastAsia="SimSun"/>
          <w:color w:val="auto"/>
        </w:rPr>
        <w:t>bảo. Ngân sách nhà nước chỉ hỗ trợ kinh phí cho các tổ chức này nếu có những hoạt</w:t>
      </w:r>
      <w:r w:rsidRPr="00002AE0">
        <w:rPr>
          <w:rStyle w:val="fontstyle01"/>
          <w:rFonts w:eastAsia="SimSun"/>
          <w:color w:val="auto"/>
          <w:lang w:val="en-US"/>
        </w:rPr>
        <w:t xml:space="preserve"> </w:t>
      </w:r>
      <w:r w:rsidRPr="00002AE0">
        <w:rPr>
          <w:rStyle w:val="fontstyle01"/>
          <w:rFonts w:eastAsia="SimSun"/>
          <w:color w:val="auto"/>
        </w:rPr>
        <w:t>động gắn với nhiệm vụ của Nhà nước theo các nguyên tắc sau đây</w:t>
      </w:r>
      <w:r w:rsidRPr="00002AE0">
        <w:rPr>
          <w:rStyle w:val="fontstyle01"/>
          <w:rFonts w:eastAsia="SimSun"/>
          <w:color w:val="auto"/>
          <w:lang w:val="en-US"/>
        </w:rPr>
        <w:t>:</w:t>
      </w:r>
    </w:p>
    <w:p w:rsidR="00BE76A4" w:rsidRPr="00002AE0" w:rsidRDefault="00BE76A4" w:rsidP="00BE76A4">
      <w:pPr>
        <w:spacing w:after="120"/>
        <w:ind w:firstLine="720"/>
        <w:jc w:val="both"/>
        <w:rPr>
          <w:rStyle w:val="fontstyle01"/>
          <w:rFonts w:eastAsia="SimSun"/>
          <w:color w:val="auto"/>
        </w:rPr>
      </w:pPr>
      <w:r w:rsidRPr="00002AE0">
        <w:rPr>
          <w:rStyle w:val="fontstyle01"/>
          <w:rFonts w:eastAsia="SimSun"/>
          <w:color w:val="auto"/>
        </w:rPr>
        <w:t xml:space="preserve">- Ngân sách nhà nước hỗ trợ </w:t>
      </w:r>
      <w:r w:rsidR="001C4BD3" w:rsidRPr="00002AE0">
        <w:rPr>
          <w:rStyle w:val="fontstyle01"/>
          <w:rFonts w:eastAsia="SimSun"/>
          <w:color w:val="auto"/>
          <w:lang w:val="en-US"/>
        </w:rPr>
        <w:t>một</w:t>
      </w:r>
      <w:r w:rsidRPr="00002AE0">
        <w:rPr>
          <w:rStyle w:val="fontstyle01"/>
          <w:rFonts w:eastAsia="SimSun"/>
          <w:color w:val="auto"/>
        </w:rPr>
        <w:t xml:space="preserve"> phần kinh phí đối với các nhiệm vụ được </w:t>
      </w:r>
      <w:r w:rsidRPr="00002AE0">
        <w:rPr>
          <w:rStyle w:val="fontstyle01"/>
          <w:rFonts w:eastAsia="SimSun"/>
          <w:color w:val="auto"/>
          <w:lang w:val="en-US"/>
        </w:rPr>
        <w:t>UBND tỉnh</w:t>
      </w:r>
      <w:r w:rsidRPr="00002AE0">
        <w:rPr>
          <w:rStyle w:val="fontstyle01"/>
          <w:rFonts w:eastAsia="SimSun"/>
          <w:color w:val="auto"/>
        </w:rPr>
        <w:t xml:space="preserve"> giao.</w:t>
      </w:r>
    </w:p>
    <w:p w:rsidR="00BE76A4" w:rsidRPr="00002AE0" w:rsidRDefault="00BE76A4" w:rsidP="00BE76A4">
      <w:pPr>
        <w:spacing w:after="120"/>
        <w:ind w:firstLine="720"/>
        <w:jc w:val="both"/>
      </w:pPr>
      <w:r w:rsidRPr="00002AE0">
        <w:rPr>
          <w:rStyle w:val="fontstyle01"/>
          <w:rFonts w:eastAsia="SimSun"/>
          <w:color w:val="auto"/>
        </w:rPr>
        <w:t>- Ngân sách nhà nước hỗ trợ</w:t>
      </w:r>
      <w:r w:rsidR="00F32019" w:rsidRPr="00002AE0">
        <w:rPr>
          <w:rStyle w:val="fontstyle01"/>
          <w:rFonts w:eastAsia="SimSun"/>
          <w:color w:val="auto"/>
        </w:rPr>
        <w:t xml:space="preserve"> một</w:t>
      </w:r>
      <w:r w:rsidRPr="00002AE0">
        <w:rPr>
          <w:rStyle w:val="fontstyle01"/>
          <w:rFonts w:eastAsia="SimSun"/>
          <w:color w:val="auto"/>
        </w:rPr>
        <w:t xml:space="preserve"> phần kinh phí để tổ chức Đại hội theo nhiệm</w:t>
      </w:r>
      <w:r w:rsidRPr="00002AE0">
        <w:rPr>
          <w:rStyle w:val="fontstyle01"/>
          <w:rFonts w:eastAsia="SimSun"/>
          <w:color w:val="auto"/>
          <w:lang w:val="en-US"/>
        </w:rPr>
        <w:t xml:space="preserve"> </w:t>
      </w:r>
      <w:r w:rsidRPr="00002AE0">
        <w:rPr>
          <w:rStyle w:val="fontstyle01"/>
          <w:rFonts w:eastAsia="SimSun"/>
          <w:color w:val="auto"/>
        </w:rPr>
        <w:t>kỳ được cấp có thẩm quyền đồng ý</w:t>
      </w:r>
      <w:r w:rsidRPr="00002AE0">
        <w:rPr>
          <w:rStyle w:val="fontstyle01"/>
          <w:rFonts w:eastAsia="SimSun"/>
          <w:color w:val="auto"/>
          <w:lang w:val="en-US"/>
        </w:rPr>
        <w:t>.</w:t>
      </w:r>
      <w:r w:rsidRPr="00002AE0">
        <w:t xml:space="preserve"> </w:t>
      </w:r>
    </w:p>
    <w:p w:rsidR="00035A51" w:rsidRPr="00002AE0" w:rsidRDefault="00BE76A4" w:rsidP="00035A51">
      <w:pPr>
        <w:spacing w:after="120"/>
        <w:ind w:firstLine="720"/>
        <w:jc w:val="both"/>
        <w:rPr>
          <w:sz w:val="28"/>
          <w:szCs w:val="28"/>
        </w:rPr>
      </w:pPr>
      <w:r w:rsidRPr="00002AE0">
        <w:rPr>
          <w:rStyle w:val="fontstyle01"/>
          <w:rFonts w:eastAsia="SimSun"/>
          <w:color w:val="auto"/>
          <w:lang w:val="en-US"/>
        </w:rPr>
        <w:t>b)</w:t>
      </w:r>
      <w:r w:rsidRPr="00002AE0">
        <w:rPr>
          <w:rStyle w:val="fontstyle01"/>
          <w:rFonts w:eastAsia="SimSun"/>
          <w:color w:val="auto"/>
        </w:rPr>
        <w:t xml:space="preserve"> Ngân sách nhà nước đảm bảo kinh phí hoạt động cho các đơn vị được</w:t>
      </w:r>
      <w:r w:rsidRPr="00002AE0">
        <w:rPr>
          <w:rStyle w:val="fontstyle01"/>
          <w:rFonts w:eastAsia="SimSun"/>
          <w:color w:val="auto"/>
          <w:lang w:val="en-US"/>
        </w:rPr>
        <w:t xml:space="preserve"> </w:t>
      </w:r>
      <w:r w:rsidRPr="00002AE0">
        <w:rPr>
          <w:rStyle w:val="fontstyle01"/>
          <w:rFonts w:eastAsia="SimSun"/>
          <w:color w:val="auto"/>
        </w:rPr>
        <w:t>UBND tỉnh giao biên chế (Hội văn học nghệ thuật, Liên minh các hợp tác xã, Hội</w:t>
      </w:r>
      <w:r w:rsidRPr="00002AE0">
        <w:rPr>
          <w:rStyle w:val="fontstyle01"/>
          <w:rFonts w:eastAsia="SimSun"/>
          <w:color w:val="auto"/>
          <w:lang w:val="en-US"/>
        </w:rPr>
        <w:t xml:space="preserve"> </w:t>
      </w:r>
      <w:r w:rsidRPr="00002AE0">
        <w:rPr>
          <w:rStyle w:val="fontstyle01"/>
          <w:rFonts w:eastAsia="SimSun"/>
          <w:color w:val="auto"/>
        </w:rPr>
        <w:t>chữ thập đỏ, Hội đông y, Hội nhà báo</w:t>
      </w:r>
      <w:r w:rsidRPr="00002AE0">
        <w:rPr>
          <w:rStyle w:val="fontstyle01"/>
          <w:rFonts w:eastAsia="SimSun"/>
          <w:color w:val="auto"/>
          <w:lang w:val="en-US"/>
        </w:rPr>
        <w:t>, ….</w:t>
      </w:r>
      <w:r w:rsidRPr="00002AE0">
        <w:rPr>
          <w:rStyle w:val="fontstyle01"/>
          <w:rFonts w:eastAsia="SimSun"/>
          <w:color w:val="auto"/>
        </w:rPr>
        <w:t>)</w:t>
      </w:r>
      <w:r w:rsidR="00015DB8" w:rsidRPr="00002AE0">
        <w:rPr>
          <w:rStyle w:val="fontstyle01"/>
          <w:rFonts w:eastAsia="SimSun"/>
          <w:color w:val="auto"/>
          <w:lang w:val="en-US"/>
        </w:rPr>
        <w:t xml:space="preserve">; hỗ trợ </w:t>
      </w:r>
      <w:r w:rsidRPr="00002AE0">
        <w:rPr>
          <w:rStyle w:val="fontstyle01"/>
          <w:rFonts w:eastAsia="SimSun"/>
          <w:color w:val="auto"/>
        </w:rPr>
        <w:t>định mức</w:t>
      </w:r>
      <w:r w:rsidRPr="00002AE0">
        <w:rPr>
          <w:rStyle w:val="fontstyle01"/>
          <w:rFonts w:eastAsia="SimSun"/>
          <w:color w:val="auto"/>
          <w:lang w:val="en-US"/>
        </w:rPr>
        <w:t xml:space="preserve"> chi khác</w:t>
      </w:r>
      <w:r w:rsidRPr="00002AE0">
        <w:rPr>
          <w:rStyle w:val="fontstyle01"/>
          <w:rFonts w:eastAsia="SimSun"/>
          <w:color w:val="auto"/>
        </w:rPr>
        <w:t xml:space="preserve"> </w:t>
      </w:r>
      <w:r w:rsidR="00015DB8" w:rsidRPr="00002AE0">
        <w:rPr>
          <w:rStyle w:val="fontstyle01"/>
          <w:rFonts w:eastAsia="SimSun"/>
          <w:color w:val="auto"/>
          <w:lang w:val="en-US"/>
        </w:rPr>
        <w:t>tối đa bằng</w:t>
      </w:r>
      <w:r w:rsidRPr="00002AE0">
        <w:rPr>
          <w:rStyle w:val="fontstyle01"/>
          <w:rFonts w:eastAsia="SimSun"/>
          <w:color w:val="auto"/>
          <w:lang w:val="en-US"/>
        </w:rPr>
        <w:t xml:space="preserve"> </w:t>
      </w:r>
      <w:r w:rsidRPr="00002AE0">
        <w:rPr>
          <w:rStyle w:val="fontstyle01"/>
          <w:rFonts w:eastAsia="SimSun"/>
          <w:color w:val="auto"/>
        </w:rPr>
        <w:t>định mức chi</w:t>
      </w:r>
      <w:r w:rsidRPr="00002AE0">
        <w:rPr>
          <w:rStyle w:val="fontstyle01"/>
          <w:rFonts w:eastAsia="SimSun"/>
          <w:color w:val="auto"/>
          <w:lang w:val="en-US"/>
        </w:rPr>
        <w:t xml:space="preserve"> </w:t>
      </w:r>
      <w:r w:rsidRPr="00002AE0">
        <w:rPr>
          <w:rStyle w:val="fontstyle01"/>
          <w:rFonts w:eastAsia="SimSun"/>
          <w:color w:val="auto"/>
        </w:rPr>
        <w:t xml:space="preserve">của đơn vị sự nghiệp công lập được nhà nước đảm bảo kinh phí 100% </w:t>
      </w:r>
      <w:r w:rsidR="00015DB8" w:rsidRPr="00002AE0">
        <w:rPr>
          <w:rStyle w:val="fontstyle01"/>
          <w:rFonts w:eastAsia="SimSun"/>
          <w:color w:val="auto"/>
          <w:lang w:val="en-US"/>
        </w:rPr>
        <w:t xml:space="preserve">chi thường xuyên; </w:t>
      </w:r>
      <w:r w:rsidR="00443D3A" w:rsidRPr="00002AE0">
        <w:rPr>
          <w:rStyle w:val="fontstyle01"/>
          <w:rFonts w:eastAsia="SimSun"/>
          <w:color w:val="auto"/>
          <w:lang w:val="en-US"/>
        </w:rPr>
        <w:t xml:space="preserve">UBND tỉnh quyết định </w:t>
      </w:r>
      <w:r w:rsidR="00015DB8" w:rsidRPr="00002AE0">
        <w:rPr>
          <w:rStyle w:val="fontstyle01"/>
          <w:rFonts w:eastAsia="SimSun"/>
          <w:color w:val="auto"/>
          <w:lang w:val="en-US"/>
        </w:rPr>
        <w:t xml:space="preserve">mức hỗ trợ </w:t>
      </w:r>
      <w:r w:rsidR="00035A51" w:rsidRPr="00002AE0">
        <w:rPr>
          <w:sz w:val="28"/>
          <w:szCs w:val="28"/>
        </w:rPr>
        <w:t xml:space="preserve">từng năm </w:t>
      </w:r>
      <w:r w:rsidR="00443D3A" w:rsidRPr="00002AE0">
        <w:rPr>
          <w:sz w:val="28"/>
          <w:szCs w:val="28"/>
        </w:rPr>
        <w:t>phù hợp với khả năng ngân sách</w:t>
      </w:r>
      <w:r w:rsidR="00035A51" w:rsidRPr="00002AE0">
        <w:rPr>
          <w:sz w:val="28"/>
          <w:szCs w:val="28"/>
        </w:rPr>
        <w:t>.</w:t>
      </w:r>
    </w:p>
    <w:p w:rsidR="00BE76A4" w:rsidRPr="00BF40BF" w:rsidRDefault="00BE76A4" w:rsidP="00BE76A4">
      <w:pPr>
        <w:spacing w:after="120"/>
        <w:ind w:firstLine="720"/>
        <w:jc w:val="both"/>
        <w:rPr>
          <w:b/>
          <w:sz w:val="28"/>
          <w:szCs w:val="28"/>
        </w:rPr>
      </w:pPr>
      <w:r w:rsidRPr="00BF40BF">
        <w:rPr>
          <w:b/>
          <w:sz w:val="28"/>
          <w:szCs w:val="28"/>
        </w:rPr>
        <w:t>2. Cấp huyện</w:t>
      </w:r>
    </w:p>
    <w:p w:rsidR="00BE76A4" w:rsidRPr="00BF40BF" w:rsidRDefault="00BE76A4" w:rsidP="00BE76A4">
      <w:pPr>
        <w:spacing w:after="120"/>
        <w:ind w:firstLine="720"/>
        <w:jc w:val="both"/>
        <w:rPr>
          <w:bCs/>
          <w:sz w:val="28"/>
          <w:szCs w:val="28"/>
          <w:lang w:val="en-US"/>
        </w:rPr>
      </w:pPr>
      <w:r w:rsidRPr="00BF40BF">
        <w:rPr>
          <w:sz w:val="28"/>
          <w:szCs w:val="28"/>
          <w:lang w:val="en-US"/>
        </w:rPr>
        <w:t>2</w:t>
      </w:r>
      <w:r w:rsidRPr="00BF40BF">
        <w:rPr>
          <w:sz w:val="28"/>
          <w:szCs w:val="28"/>
        </w:rPr>
        <w:t xml:space="preserve">.1. </w:t>
      </w:r>
      <w:r w:rsidRPr="00BF40BF">
        <w:rPr>
          <w:bCs/>
          <w:sz w:val="28"/>
          <w:szCs w:val="28"/>
          <w:lang w:val="en-US"/>
        </w:rPr>
        <w:t>Định mức chi khác tính theo biên chế được giao:</w:t>
      </w:r>
    </w:p>
    <w:tbl>
      <w:tblPr>
        <w:tblW w:w="9062"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314"/>
        <w:gridCol w:w="4748"/>
      </w:tblGrid>
      <w:tr w:rsidR="00BE76A4" w:rsidRPr="00E445EF" w:rsidTr="00EA1F45">
        <w:trPr>
          <w:jc w:val="center"/>
        </w:trPr>
        <w:tc>
          <w:tcPr>
            <w:tcW w:w="431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center"/>
              <w:rPr>
                <w:b/>
                <w:sz w:val="28"/>
                <w:lang w:val="en-US"/>
              </w:rPr>
            </w:pPr>
            <w:r w:rsidRPr="00E445EF">
              <w:rPr>
                <w:b/>
                <w:sz w:val="28"/>
                <w:lang w:val="en-US"/>
              </w:rPr>
              <w:t>Chỉ tiêu</w:t>
            </w:r>
          </w:p>
        </w:tc>
        <w:tc>
          <w:tcPr>
            <w:tcW w:w="474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center"/>
              <w:rPr>
                <w:b/>
                <w:sz w:val="28"/>
                <w:lang w:val="en-US"/>
              </w:rPr>
            </w:pPr>
            <w:r w:rsidRPr="00E445EF">
              <w:rPr>
                <w:b/>
                <w:sz w:val="28"/>
                <w:lang w:val="en-US"/>
              </w:rPr>
              <w:t>Định mức phân bổ</w:t>
            </w:r>
          </w:p>
        </w:tc>
      </w:tr>
      <w:tr w:rsidR="00BE76A4" w:rsidRPr="00BF40BF" w:rsidTr="00EA1F45">
        <w:tblPrEx>
          <w:tblBorders>
            <w:top w:val="none" w:sz="0" w:space="0" w:color="auto"/>
            <w:bottom w:val="none" w:sz="0" w:space="0" w:color="auto"/>
            <w:insideH w:val="none" w:sz="0" w:space="0" w:color="auto"/>
            <w:insideV w:val="none" w:sz="0" w:space="0" w:color="auto"/>
          </w:tblBorders>
        </w:tblPrEx>
        <w:trPr>
          <w:jc w:val="center"/>
        </w:trPr>
        <w:tc>
          <w:tcPr>
            <w:tcW w:w="431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both"/>
              <w:rPr>
                <w:sz w:val="28"/>
                <w:lang w:val="en-US"/>
              </w:rPr>
            </w:pPr>
            <w:r w:rsidRPr="00E445EF">
              <w:rPr>
                <w:sz w:val="28"/>
                <w:lang w:val="en-US"/>
              </w:rPr>
              <w:t>- Các huyện đồng bằng</w:t>
            </w:r>
          </w:p>
        </w:tc>
        <w:tc>
          <w:tcPr>
            <w:tcW w:w="47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D6A02" w:rsidRDefault="0084164D" w:rsidP="00E445EF">
            <w:pPr>
              <w:spacing w:before="20" w:after="20"/>
              <w:ind w:left="142" w:right="142"/>
              <w:jc w:val="both"/>
              <w:rPr>
                <w:color w:val="FF0000"/>
                <w:sz w:val="28"/>
                <w:lang w:val="en-US"/>
              </w:rPr>
            </w:pPr>
            <w:r>
              <w:rPr>
                <w:color w:val="FF0000"/>
                <w:sz w:val="28"/>
                <w:lang w:val="en-US"/>
              </w:rPr>
              <w:t>14,4</w:t>
            </w:r>
            <w:r w:rsidR="00F37CF8" w:rsidRPr="003D6A02">
              <w:rPr>
                <w:color w:val="FF0000"/>
                <w:sz w:val="28"/>
                <w:lang w:val="en-US"/>
              </w:rPr>
              <w:t xml:space="preserve"> triệu đồng/biên chế/năm</w:t>
            </w:r>
          </w:p>
        </w:tc>
      </w:tr>
      <w:tr w:rsidR="00BE76A4" w:rsidRPr="00BF40BF" w:rsidTr="00EA1F45">
        <w:tblPrEx>
          <w:tblBorders>
            <w:top w:val="none" w:sz="0" w:space="0" w:color="auto"/>
            <w:bottom w:val="none" w:sz="0" w:space="0" w:color="auto"/>
            <w:insideH w:val="none" w:sz="0" w:space="0" w:color="auto"/>
            <w:insideV w:val="none" w:sz="0" w:space="0" w:color="auto"/>
          </w:tblBorders>
        </w:tblPrEx>
        <w:trPr>
          <w:jc w:val="center"/>
        </w:trPr>
        <w:tc>
          <w:tcPr>
            <w:tcW w:w="431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both"/>
              <w:rPr>
                <w:sz w:val="28"/>
                <w:lang w:val="en-US"/>
              </w:rPr>
            </w:pPr>
            <w:r w:rsidRPr="00E445EF">
              <w:rPr>
                <w:sz w:val="28"/>
                <w:lang w:val="en-US"/>
              </w:rPr>
              <w:t>- Huyện Đakrông</w:t>
            </w:r>
          </w:p>
        </w:tc>
        <w:tc>
          <w:tcPr>
            <w:tcW w:w="47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D6A02" w:rsidRDefault="00BE76A4" w:rsidP="0084164D">
            <w:pPr>
              <w:spacing w:before="20" w:after="20"/>
              <w:ind w:left="142" w:right="142"/>
              <w:jc w:val="both"/>
              <w:rPr>
                <w:color w:val="FF0000"/>
                <w:sz w:val="28"/>
                <w:lang w:val="en-US"/>
              </w:rPr>
            </w:pPr>
            <w:r w:rsidRPr="003D6A02">
              <w:rPr>
                <w:color w:val="FF0000"/>
                <w:sz w:val="28"/>
                <w:lang w:val="en-US"/>
              </w:rPr>
              <w:t>1</w:t>
            </w:r>
            <w:r w:rsidR="0084164D">
              <w:rPr>
                <w:color w:val="FF0000"/>
                <w:sz w:val="28"/>
                <w:lang w:val="en-US"/>
              </w:rPr>
              <w:t>6,8</w:t>
            </w:r>
            <w:r w:rsidR="00F37CF8" w:rsidRPr="003D6A02">
              <w:rPr>
                <w:color w:val="FF0000"/>
                <w:sz w:val="28"/>
                <w:lang w:val="en-US"/>
              </w:rPr>
              <w:t xml:space="preserve"> triệu đồng/biên chế/năm</w:t>
            </w:r>
          </w:p>
        </w:tc>
      </w:tr>
      <w:tr w:rsidR="00BE76A4" w:rsidRPr="00BF40BF" w:rsidTr="00EA1F45">
        <w:tblPrEx>
          <w:tblBorders>
            <w:top w:val="none" w:sz="0" w:space="0" w:color="auto"/>
            <w:bottom w:val="none" w:sz="0" w:space="0" w:color="auto"/>
            <w:insideH w:val="none" w:sz="0" w:space="0" w:color="auto"/>
            <w:insideV w:val="none" w:sz="0" w:space="0" w:color="auto"/>
          </w:tblBorders>
        </w:tblPrEx>
        <w:trPr>
          <w:jc w:val="center"/>
        </w:trPr>
        <w:tc>
          <w:tcPr>
            <w:tcW w:w="431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both"/>
              <w:rPr>
                <w:sz w:val="28"/>
                <w:lang w:val="en-US"/>
              </w:rPr>
            </w:pPr>
            <w:r w:rsidRPr="00E445EF">
              <w:rPr>
                <w:sz w:val="28"/>
                <w:lang w:val="en-US"/>
              </w:rPr>
              <w:t>- Huyện Hướng Hóa</w:t>
            </w:r>
          </w:p>
        </w:tc>
        <w:tc>
          <w:tcPr>
            <w:tcW w:w="47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D6A02" w:rsidRDefault="0084164D" w:rsidP="00E445EF">
            <w:pPr>
              <w:spacing w:before="20" w:after="20"/>
              <w:ind w:left="142" w:right="142"/>
              <w:jc w:val="both"/>
              <w:rPr>
                <w:color w:val="FF0000"/>
                <w:sz w:val="28"/>
                <w:lang w:val="en-US"/>
              </w:rPr>
            </w:pPr>
            <w:r>
              <w:rPr>
                <w:color w:val="FF0000"/>
                <w:sz w:val="28"/>
                <w:lang w:val="en-US"/>
              </w:rPr>
              <w:t>17,3</w:t>
            </w:r>
            <w:r w:rsidR="00F37CF8" w:rsidRPr="003D6A02">
              <w:rPr>
                <w:color w:val="FF0000"/>
                <w:sz w:val="28"/>
                <w:lang w:val="en-US"/>
              </w:rPr>
              <w:t xml:space="preserve"> triệu đồng/biên chế/năm</w:t>
            </w:r>
          </w:p>
        </w:tc>
      </w:tr>
      <w:tr w:rsidR="00BE76A4" w:rsidRPr="00BF40BF" w:rsidTr="00EA1F45">
        <w:tblPrEx>
          <w:tblBorders>
            <w:top w:val="none" w:sz="0" w:space="0" w:color="auto"/>
            <w:bottom w:val="none" w:sz="0" w:space="0" w:color="auto"/>
            <w:insideH w:val="none" w:sz="0" w:space="0" w:color="auto"/>
            <w:insideV w:val="none" w:sz="0" w:space="0" w:color="auto"/>
          </w:tblBorders>
        </w:tblPrEx>
        <w:trPr>
          <w:jc w:val="center"/>
        </w:trPr>
        <w:tc>
          <w:tcPr>
            <w:tcW w:w="431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E445EF" w:rsidRDefault="00BE76A4" w:rsidP="00E445EF">
            <w:pPr>
              <w:spacing w:before="20" w:after="20"/>
              <w:ind w:left="142" w:right="142"/>
              <w:jc w:val="both"/>
              <w:rPr>
                <w:sz w:val="28"/>
                <w:lang w:val="en-US"/>
              </w:rPr>
            </w:pPr>
            <w:r w:rsidRPr="00E445EF">
              <w:rPr>
                <w:sz w:val="28"/>
                <w:lang w:val="en-US"/>
              </w:rPr>
              <w:t>- Huyện đảo Cồn Cỏ</w:t>
            </w:r>
          </w:p>
        </w:tc>
        <w:tc>
          <w:tcPr>
            <w:tcW w:w="474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3D6A02" w:rsidRDefault="0084164D" w:rsidP="00E445EF">
            <w:pPr>
              <w:spacing w:before="20" w:after="20"/>
              <w:ind w:left="142" w:right="142"/>
              <w:jc w:val="both"/>
              <w:rPr>
                <w:color w:val="FF0000"/>
                <w:sz w:val="28"/>
                <w:lang w:val="en-US"/>
              </w:rPr>
            </w:pPr>
            <w:r>
              <w:rPr>
                <w:color w:val="FF0000"/>
                <w:sz w:val="28"/>
                <w:lang w:val="en-US"/>
              </w:rPr>
              <w:t>24</w:t>
            </w:r>
            <w:r w:rsidR="00BE76A4" w:rsidRPr="003D6A02">
              <w:rPr>
                <w:color w:val="FF0000"/>
                <w:sz w:val="28"/>
                <w:lang w:val="en-US"/>
              </w:rPr>
              <w:t> </w:t>
            </w:r>
            <w:r w:rsidR="00F37CF8" w:rsidRPr="003D6A02">
              <w:rPr>
                <w:color w:val="FF0000"/>
                <w:sz w:val="28"/>
                <w:lang w:val="en-US"/>
              </w:rPr>
              <w:t>triệu đồng/biên chế/năm</w:t>
            </w:r>
          </w:p>
        </w:tc>
      </w:tr>
    </w:tbl>
    <w:p w:rsidR="00517A96" w:rsidRDefault="00517A96" w:rsidP="00517A96">
      <w:pPr>
        <w:spacing w:before="120" w:after="120"/>
        <w:ind w:firstLine="720"/>
        <w:jc w:val="both"/>
        <w:rPr>
          <w:sz w:val="28"/>
        </w:rPr>
      </w:pPr>
      <w:r w:rsidRPr="00754E68">
        <w:rPr>
          <w:sz w:val="28"/>
        </w:rPr>
        <w:t>Định mức phân bổ không bao gồm các khoản chi đặc thù theo nhiệm vụ được cấp có thẩm quyền giao.</w:t>
      </w:r>
    </w:p>
    <w:p w:rsidR="00517A96" w:rsidRPr="00754E68" w:rsidRDefault="00517A96" w:rsidP="00517A96">
      <w:pPr>
        <w:spacing w:after="120"/>
        <w:ind w:firstLine="720"/>
        <w:jc w:val="both"/>
        <w:rPr>
          <w:sz w:val="28"/>
        </w:rPr>
      </w:pPr>
      <w:r w:rsidRPr="00754E68">
        <w:rPr>
          <w:sz w:val="28"/>
        </w:rPr>
        <w:t>2.2. Trường hợp cơ quan, đơn vị có số lượng biên chế ít (từ 03 người trở xuống) thì định mức phân bổ được tính thêm 03 triệu đồng/biên chế/năm.</w:t>
      </w:r>
    </w:p>
    <w:p w:rsidR="00BE76A4" w:rsidRPr="00BF40BF" w:rsidRDefault="00BE76A4" w:rsidP="00BE76A4">
      <w:pPr>
        <w:spacing w:after="120"/>
        <w:ind w:firstLine="720"/>
        <w:jc w:val="both"/>
        <w:rPr>
          <w:b/>
          <w:sz w:val="28"/>
          <w:szCs w:val="28"/>
        </w:rPr>
      </w:pPr>
      <w:r w:rsidRPr="00BF40BF">
        <w:rPr>
          <w:b/>
          <w:sz w:val="28"/>
          <w:szCs w:val="28"/>
          <w:lang w:val="en-US"/>
        </w:rPr>
        <w:lastRenderedPageBreak/>
        <w:t>3</w:t>
      </w:r>
      <w:r w:rsidRPr="00BF40BF">
        <w:rPr>
          <w:b/>
          <w:sz w:val="28"/>
          <w:szCs w:val="28"/>
        </w:rPr>
        <w:t>. Cấp xã</w:t>
      </w:r>
    </w:p>
    <w:p w:rsidR="00BE76A4" w:rsidRPr="00BF40BF" w:rsidRDefault="00BE76A4" w:rsidP="00BE76A4">
      <w:pPr>
        <w:spacing w:after="120"/>
        <w:ind w:firstLine="720"/>
        <w:jc w:val="both"/>
        <w:rPr>
          <w:bCs/>
          <w:color w:val="FF0000"/>
          <w:sz w:val="28"/>
          <w:szCs w:val="28"/>
          <w:lang w:val="en-US"/>
        </w:rPr>
      </w:pPr>
      <w:r w:rsidRPr="00BF40BF">
        <w:rPr>
          <w:sz w:val="28"/>
          <w:szCs w:val="28"/>
          <w:lang w:val="en-US"/>
        </w:rPr>
        <w:t xml:space="preserve">3.1. </w:t>
      </w:r>
      <w:r w:rsidRPr="00BF40BF">
        <w:rPr>
          <w:sz w:val="28"/>
          <w:szCs w:val="28"/>
        </w:rPr>
        <w:t>Đối với cán bộ, công chức cấp xã</w:t>
      </w:r>
      <w:r w:rsidRPr="00BF40BF">
        <w:rPr>
          <w:sz w:val="28"/>
          <w:szCs w:val="28"/>
          <w:lang w:val="en-US"/>
        </w:rPr>
        <w:t>:</w:t>
      </w:r>
      <w:r w:rsidRPr="00BF40BF">
        <w:rPr>
          <w:sz w:val="28"/>
          <w:szCs w:val="28"/>
        </w:rPr>
        <w:t xml:space="preserve"> </w:t>
      </w:r>
      <w:r w:rsidRPr="00BF40BF">
        <w:rPr>
          <w:bCs/>
          <w:color w:val="FF0000"/>
          <w:sz w:val="28"/>
          <w:szCs w:val="28"/>
          <w:lang w:val="en-US"/>
        </w:rPr>
        <w:t xml:space="preserve">Định mức chi khác tính theo biên chế được giao: </w:t>
      </w:r>
      <w:r w:rsidR="00F02663">
        <w:rPr>
          <w:bCs/>
          <w:color w:val="FF0000"/>
          <w:sz w:val="28"/>
          <w:szCs w:val="28"/>
          <w:lang w:val="en-US"/>
        </w:rPr>
        <w:t>10,4</w:t>
      </w:r>
      <w:r w:rsidRPr="00BF40BF">
        <w:rPr>
          <w:color w:val="FF0000"/>
          <w:sz w:val="28"/>
          <w:szCs w:val="28"/>
          <w:lang w:val="en-US"/>
        </w:rPr>
        <w:t xml:space="preserve"> </w:t>
      </w:r>
      <w:r w:rsidRPr="00BF40BF">
        <w:rPr>
          <w:bCs/>
          <w:color w:val="FF0000"/>
          <w:sz w:val="28"/>
          <w:szCs w:val="28"/>
          <w:lang w:val="en-US"/>
        </w:rPr>
        <w:t>triệu đồng/biên chế/năm.</w:t>
      </w:r>
    </w:p>
    <w:p w:rsidR="00BE76A4" w:rsidRPr="00BF40BF" w:rsidRDefault="00BE76A4" w:rsidP="00BE76A4">
      <w:pPr>
        <w:spacing w:after="120"/>
        <w:ind w:firstLine="720"/>
        <w:jc w:val="both"/>
        <w:rPr>
          <w:sz w:val="28"/>
          <w:szCs w:val="28"/>
        </w:rPr>
      </w:pPr>
      <w:r w:rsidRPr="00BF40BF">
        <w:rPr>
          <w:sz w:val="28"/>
          <w:szCs w:val="28"/>
        </w:rPr>
        <w:t xml:space="preserve">3.2. </w:t>
      </w:r>
      <w:r w:rsidR="003E1D6C">
        <w:rPr>
          <w:sz w:val="28"/>
          <w:szCs w:val="28"/>
          <w:lang w:val="en-US"/>
        </w:rPr>
        <w:t>Hỗ trợ kinh phí đ</w:t>
      </w:r>
      <w:r w:rsidRPr="00BF40BF">
        <w:rPr>
          <w:sz w:val="28"/>
          <w:szCs w:val="28"/>
        </w:rPr>
        <w:t xml:space="preserve">ối với những người hoạt động không chuyên trách ở cấp xã, ở thôn, tổ dân phố; khoán kinh phí hoạt động đối với các tổ chức chính trị - xã hội ở cấp xã; hỗ trợ kinh phí hoạt động đối với các tổ chức chính trị - xã hội ở thôn, tổ dân phố; mức bồi dưỡng đối với người trực tiếp tham gia công việc của thôn, tổ dân phố </w:t>
      </w:r>
      <w:r w:rsidRPr="00BF40BF">
        <w:rPr>
          <w:sz w:val="28"/>
          <w:szCs w:val="28"/>
          <w:lang w:val="en-US"/>
        </w:rPr>
        <w:t>t</w:t>
      </w:r>
      <w:r w:rsidRPr="00BF40BF">
        <w:rPr>
          <w:sz w:val="28"/>
          <w:szCs w:val="28"/>
        </w:rPr>
        <w:t>hực hiện theo Nghị quyết số 18/2020/NQ-HĐND ngày 21/04/2020 của HĐND tỉnh Quảng Trị.</w:t>
      </w:r>
    </w:p>
    <w:p w:rsidR="000D29DA" w:rsidRPr="00ED1E0F" w:rsidRDefault="00BE76A4" w:rsidP="00BE76A4">
      <w:pPr>
        <w:spacing w:after="120"/>
        <w:ind w:firstLine="720"/>
        <w:jc w:val="both"/>
        <w:rPr>
          <w:sz w:val="28"/>
          <w:szCs w:val="28"/>
        </w:rPr>
      </w:pPr>
      <w:r w:rsidRPr="00ED1E0F">
        <w:rPr>
          <w:sz w:val="28"/>
          <w:szCs w:val="28"/>
        </w:rPr>
        <w:t xml:space="preserve">3.3. Hỗ trợ </w:t>
      </w:r>
      <w:r w:rsidR="000D29DA" w:rsidRPr="00ED1E0F">
        <w:rPr>
          <w:sz w:val="28"/>
          <w:szCs w:val="28"/>
          <w:lang w:val="en-US"/>
        </w:rPr>
        <w:t>kinh phí hoạt động:</w:t>
      </w:r>
    </w:p>
    <w:p w:rsidR="00BE76A4" w:rsidRPr="005B1B10" w:rsidRDefault="000D29DA" w:rsidP="00BE76A4">
      <w:pPr>
        <w:spacing w:after="120"/>
        <w:ind w:firstLine="720"/>
        <w:jc w:val="both"/>
        <w:rPr>
          <w:spacing w:val="-2"/>
          <w:sz w:val="28"/>
          <w:szCs w:val="28"/>
        </w:rPr>
      </w:pPr>
      <w:r w:rsidRPr="005B1B10">
        <w:rPr>
          <w:spacing w:val="-2"/>
          <w:sz w:val="28"/>
          <w:szCs w:val="28"/>
        </w:rPr>
        <w:t xml:space="preserve">- </w:t>
      </w:r>
      <w:r w:rsidR="005B1B10" w:rsidRPr="005B1B10">
        <w:rPr>
          <w:spacing w:val="-2"/>
          <w:sz w:val="28"/>
          <w:szCs w:val="28"/>
        </w:rPr>
        <w:t xml:space="preserve">Hỗ trợ kinh phí hoạt động </w:t>
      </w:r>
      <w:r w:rsidR="00F20131" w:rsidRPr="005B1B10">
        <w:rPr>
          <w:spacing w:val="-2"/>
          <w:sz w:val="28"/>
          <w:szCs w:val="28"/>
        </w:rPr>
        <w:t xml:space="preserve">Ủy ban Mặt trận </w:t>
      </w:r>
      <w:r w:rsidR="00BE76A4" w:rsidRPr="005B1B10">
        <w:rPr>
          <w:spacing w:val="-2"/>
          <w:sz w:val="28"/>
          <w:szCs w:val="28"/>
        </w:rPr>
        <w:t>TQVN cấp xã thực hiện cuộc vận động "Toàn dân đoàn kết xây dựng nông thôn mới, đô thị văn minh" theo quy định tại Nghị quyết số 41/NQ-HĐND ngày 06/12/2019 của HĐND tỉnh Quảng Trị.</w:t>
      </w:r>
    </w:p>
    <w:p w:rsidR="00BE76A4" w:rsidRPr="00E46BB4" w:rsidRDefault="00BE76A4" w:rsidP="00BE76A4">
      <w:pPr>
        <w:spacing w:after="120"/>
        <w:ind w:firstLine="720"/>
        <w:jc w:val="both"/>
        <w:rPr>
          <w:color w:val="FF0000"/>
          <w:sz w:val="28"/>
          <w:szCs w:val="28"/>
        </w:rPr>
      </w:pPr>
      <w:r w:rsidRPr="00E46BB4">
        <w:rPr>
          <w:color w:val="FF0000"/>
          <w:sz w:val="28"/>
          <w:szCs w:val="28"/>
          <w:lang w:val="en-US"/>
        </w:rPr>
        <w:t>-</w:t>
      </w:r>
      <w:r w:rsidRPr="00E46BB4">
        <w:rPr>
          <w:color w:val="FF0000"/>
          <w:sz w:val="28"/>
          <w:szCs w:val="28"/>
        </w:rPr>
        <w:t xml:space="preserve"> </w:t>
      </w:r>
      <w:r w:rsidR="000D29DA" w:rsidRPr="00E46BB4">
        <w:rPr>
          <w:color w:val="FF0000"/>
          <w:sz w:val="28"/>
          <w:szCs w:val="28"/>
          <w:lang w:val="en-US"/>
        </w:rPr>
        <w:t xml:space="preserve">Hoạt động </w:t>
      </w:r>
      <w:r w:rsidRPr="00E46BB4">
        <w:rPr>
          <w:color w:val="FF0000"/>
          <w:sz w:val="28"/>
          <w:szCs w:val="28"/>
        </w:rPr>
        <w:t xml:space="preserve">Ban </w:t>
      </w:r>
      <w:r w:rsidRPr="00E46BB4">
        <w:rPr>
          <w:color w:val="FF0000"/>
          <w:sz w:val="28"/>
          <w:szCs w:val="28"/>
          <w:lang w:val="en-US"/>
        </w:rPr>
        <w:t>T</w:t>
      </w:r>
      <w:r w:rsidRPr="00E46BB4">
        <w:rPr>
          <w:color w:val="FF0000"/>
          <w:sz w:val="28"/>
          <w:szCs w:val="28"/>
        </w:rPr>
        <w:t xml:space="preserve">hanh tra nhân dân: </w:t>
      </w:r>
      <w:r w:rsidRPr="00E46BB4">
        <w:rPr>
          <w:color w:val="FF0000"/>
          <w:sz w:val="28"/>
          <w:szCs w:val="28"/>
          <w:lang w:val="en-US"/>
        </w:rPr>
        <w:t>0</w:t>
      </w:r>
      <w:r w:rsidR="00E46BB4" w:rsidRPr="00E46BB4">
        <w:rPr>
          <w:color w:val="FF0000"/>
          <w:sz w:val="28"/>
          <w:szCs w:val="28"/>
          <w:lang w:val="en-US"/>
        </w:rPr>
        <w:t>5</w:t>
      </w:r>
      <w:r w:rsidRPr="00E46BB4">
        <w:rPr>
          <w:color w:val="FF0000"/>
          <w:sz w:val="28"/>
          <w:szCs w:val="28"/>
        </w:rPr>
        <w:t xml:space="preserve"> triệu đồng/xã, phường, thị trấn</w:t>
      </w:r>
      <w:r w:rsidRPr="00E46BB4">
        <w:rPr>
          <w:color w:val="FF0000"/>
          <w:sz w:val="28"/>
          <w:szCs w:val="28"/>
          <w:lang w:val="en-US"/>
        </w:rPr>
        <w:t>.</w:t>
      </w:r>
      <w:r w:rsidRPr="00E46BB4">
        <w:rPr>
          <w:color w:val="FF0000"/>
          <w:sz w:val="28"/>
          <w:szCs w:val="28"/>
        </w:rPr>
        <w:t xml:space="preserve"> </w:t>
      </w:r>
    </w:p>
    <w:p w:rsidR="00BE76A4" w:rsidRPr="00F70C09" w:rsidRDefault="00BE76A4" w:rsidP="00BE76A4">
      <w:pPr>
        <w:spacing w:after="120"/>
        <w:ind w:firstLine="720"/>
        <w:jc w:val="both"/>
        <w:rPr>
          <w:spacing w:val="-4"/>
          <w:sz w:val="28"/>
          <w:szCs w:val="28"/>
        </w:rPr>
      </w:pPr>
      <w:r w:rsidRPr="00F70C09">
        <w:rPr>
          <w:spacing w:val="-4"/>
          <w:sz w:val="28"/>
          <w:szCs w:val="28"/>
          <w:lang w:val="en-US"/>
        </w:rPr>
        <w:t xml:space="preserve">- </w:t>
      </w:r>
      <w:r w:rsidR="00F70C09" w:rsidRPr="00F70C09">
        <w:rPr>
          <w:spacing w:val="-4"/>
          <w:sz w:val="28"/>
          <w:szCs w:val="28"/>
          <w:lang w:val="en-US"/>
        </w:rPr>
        <w:t>Kính phí g</w:t>
      </w:r>
      <w:r w:rsidRPr="00F70C09">
        <w:rPr>
          <w:spacing w:val="-4"/>
          <w:sz w:val="28"/>
          <w:szCs w:val="28"/>
        </w:rPr>
        <w:t xml:space="preserve">iám sát đầu tư của cộng đồng: </w:t>
      </w:r>
      <w:r w:rsidRPr="00F70C09">
        <w:rPr>
          <w:spacing w:val="-4"/>
          <w:sz w:val="28"/>
          <w:szCs w:val="28"/>
          <w:lang w:val="en-US"/>
        </w:rPr>
        <w:t>0</w:t>
      </w:r>
      <w:r w:rsidRPr="00F70C09">
        <w:rPr>
          <w:spacing w:val="-4"/>
          <w:sz w:val="28"/>
          <w:szCs w:val="28"/>
        </w:rPr>
        <w:t xml:space="preserve">5 triệu đồng/xã, phường, thị trấn. </w:t>
      </w:r>
    </w:p>
    <w:p w:rsidR="00BE76A4" w:rsidRPr="00BF40BF" w:rsidRDefault="00BE76A4" w:rsidP="00BE76A4">
      <w:pPr>
        <w:spacing w:after="120"/>
        <w:ind w:firstLine="720"/>
        <w:jc w:val="both"/>
        <w:rPr>
          <w:sz w:val="28"/>
          <w:szCs w:val="28"/>
        </w:rPr>
      </w:pPr>
      <w:r w:rsidRPr="00BF40BF">
        <w:rPr>
          <w:sz w:val="28"/>
          <w:szCs w:val="28"/>
          <w:lang w:val="en-US"/>
        </w:rPr>
        <w:t>3.</w:t>
      </w:r>
      <w:r w:rsidR="00C67431">
        <w:rPr>
          <w:sz w:val="28"/>
          <w:szCs w:val="28"/>
          <w:lang w:val="en-US"/>
        </w:rPr>
        <w:t>4</w:t>
      </w:r>
      <w:r w:rsidRPr="00BF40BF">
        <w:rPr>
          <w:sz w:val="28"/>
          <w:szCs w:val="28"/>
          <w:lang w:val="en-US"/>
        </w:rPr>
        <w:t xml:space="preserve">. </w:t>
      </w:r>
      <w:r w:rsidRPr="00BF40BF">
        <w:rPr>
          <w:sz w:val="28"/>
          <w:szCs w:val="28"/>
        </w:rPr>
        <w:t>Kinh phí thực hiện chế độ phụ cấp đối với đại biểu HĐND cấp xã; chế độ hỗ trợ đối với đại biểu HĐND cấp xã theo quy định hiện hành.</w:t>
      </w:r>
    </w:p>
    <w:p w:rsidR="00BE76A4" w:rsidRPr="00BF40BF" w:rsidRDefault="00BE76A4" w:rsidP="00BE76A4">
      <w:pPr>
        <w:spacing w:after="120"/>
        <w:ind w:firstLine="720"/>
        <w:jc w:val="both"/>
        <w:rPr>
          <w:b/>
          <w:sz w:val="28"/>
          <w:szCs w:val="28"/>
          <w:lang w:val="en-US"/>
        </w:rPr>
      </w:pPr>
      <w:r w:rsidRPr="00BF40BF">
        <w:rPr>
          <w:b/>
          <w:sz w:val="28"/>
          <w:szCs w:val="28"/>
        </w:rPr>
        <w:t>4. Ngoài định mức trên, các huyện, thành phố, thị xã được phân bổ  thêm</w:t>
      </w:r>
      <w:r w:rsidRPr="00BF40BF">
        <w:rPr>
          <w:b/>
          <w:sz w:val="28"/>
          <w:szCs w:val="28"/>
          <w:lang w:val="en-US"/>
        </w:rPr>
        <w:t xml:space="preserve"> kinh phí hoạt động</w:t>
      </w:r>
    </w:p>
    <w:p w:rsidR="00BE76A4" w:rsidRDefault="00BE76A4" w:rsidP="00983377">
      <w:pPr>
        <w:spacing w:after="120"/>
        <w:ind w:firstLine="720"/>
        <w:jc w:val="both"/>
        <w:rPr>
          <w:sz w:val="28"/>
          <w:szCs w:val="28"/>
        </w:rPr>
      </w:pPr>
      <w:r w:rsidRPr="00BF40BF">
        <w:rPr>
          <w:sz w:val="28"/>
          <w:szCs w:val="28"/>
        </w:rPr>
        <w:t xml:space="preserve">4.1. Hoạt động của </w:t>
      </w:r>
      <w:r w:rsidR="00B5774E" w:rsidRPr="00983377">
        <w:rPr>
          <w:sz w:val="28"/>
          <w:szCs w:val="28"/>
        </w:rPr>
        <w:t>c</w:t>
      </w:r>
      <w:r w:rsidRPr="00BF40BF">
        <w:rPr>
          <w:sz w:val="28"/>
          <w:szCs w:val="28"/>
        </w:rPr>
        <w:t xml:space="preserve">ấp ủy, HĐND, UBND cấp huyện, </w:t>
      </w:r>
      <w:r w:rsidR="006C464D" w:rsidRPr="00983377">
        <w:rPr>
          <w:sz w:val="28"/>
          <w:szCs w:val="28"/>
        </w:rPr>
        <w:t xml:space="preserve">cấp </w:t>
      </w:r>
      <w:r w:rsidRPr="00BF40BF">
        <w:rPr>
          <w:sz w:val="28"/>
          <w:szCs w:val="28"/>
        </w:rPr>
        <w:t xml:space="preserve">xã (theo nhiệm kỳ, đã bao gồm kinh phí thực hiện một số chế độ chi tiêu đảm bảo hoạt động của huyện, thành, thị ủy theo </w:t>
      </w:r>
      <w:r w:rsidR="00983377" w:rsidRPr="00983377">
        <w:rPr>
          <w:sz w:val="28"/>
          <w:szCs w:val="28"/>
        </w:rPr>
        <w:t>Quy định số 38-/QĐ-TU ngày 22/4/2020 của Tỉnh ủy Quả</w:t>
      </w:r>
      <w:r w:rsidR="00983377">
        <w:rPr>
          <w:sz w:val="28"/>
          <w:szCs w:val="28"/>
        </w:rPr>
        <w:t>ng Trị</w:t>
      </w:r>
      <w:r w:rsidRPr="00EF565A">
        <w:rPr>
          <w:sz w:val="28"/>
          <w:szCs w:val="28"/>
        </w:rPr>
        <w:t>;</w:t>
      </w:r>
      <w:r w:rsidRPr="00BF40BF">
        <w:rPr>
          <w:sz w:val="28"/>
          <w:szCs w:val="28"/>
        </w:rPr>
        <w:t xml:space="preserve"> chi hỗ trợ công tác đảng theo Q</w:t>
      </w:r>
      <w:r w:rsidR="00EF565A" w:rsidRPr="00EF565A">
        <w:rPr>
          <w:sz w:val="28"/>
          <w:szCs w:val="28"/>
        </w:rPr>
        <w:t>uyết định số 99-QĐ/TW ngày 30/5/2012 của Ban Bí thư Trung ương Đản</w:t>
      </w:r>
      <w:r w:rsidRPr="00EF565A">
        <w:rPr>
          <w:sz w:val="28"/>
          <w:szCs w:val="28"/>
        </w:rPr>
        <w:t xml:space="preserve"> </w:t>
      </w:r>
      <w:r w:rsidRPr="00BF40BF">
        <w:rPr>
          <w:sz w:val="28"/>
          <w:szCs w:val="28"/>
        </w:rPr>
        <w:t>và các quy định hiện hành; kinh phí phục vụ hoạt động của HĐND các cấp</w:t>
      </w:r>
      <w:r w:rsidRPr="00EF565A">
        <w:rPr>
          <w:sz w:val="28"/>
          <w:szCs w:val="28"/>
        </w:rPr>
        <w:t xml:space="preserve">; chế độ </w:t>
      </w:r>
      <w:r w:rsidR="00EF565A" w:rsidRPr="00EF565A">
        <w:rPr>
          <w:sz w:val="28"/>
          <w:szCs w:val="28"/>
        </w:rPr>
        <w:t>thăm hỏi, chúc mừng đối với một số đối tượng do UBMTTQVN các cấp</w:t>
      </w:r>
      <w:r w:rsidR="00EF565A" w:rsidRPr="00983377">
        <w:rPr>
          <w:sz w:val="28"/>
          <w:szCs w:val="28"/>
        </w:rPr>
        <w:t xml:space="preserve"> </w:t>
      </w:r>
      <w:r w:rsidR="00EF565A" w:rsidRPr="00EF565A">
        <w:rPr>
          <w:sz w:val="28"/>
          <w:szCs w:val="28"/>
        </w:rPr>
        <w:t>thực hiện</w:t>
      </w:r>
      <w:r w:rsidRPr="00BF40BF">
        <w:rPr>
          <w:sz w:val="28"/>
          <w:szCs w:val="28"/>
        </w:rPr>
        <w:t>):</w:t>
      </w:r>
    </w:p>
    <w:p w:rsidR="00BE76A4" w:rsidRPr="00B8302F" w:rsidRDefault="00BE76A4" w:rsidP="00BE76A4">
      <w:pPr>
        <w:spacing w:after="120"/>
        <w:ind w:firstLine="720"/>
        <w:jc w:val="both"/>
        <w:rPr>
          <w:color w:val="FF0000"/>
          <w:sz w:val="28"/>
          <w:szCs w:val="28"/>
        </w:rPr>
      </w:pPr>
      <w:r w:rsidRPr="00B8302F">
        <w:rPr>
          <w:color w:val="FF0000"/>
          <w:sz w:val="28"/>
          <w:szCs w:val="28"/>
          <w:lang w:val="en-US"/>
        </w:rPr>
        <w:t>4.1.1.</w:t>
      </w:r>
      <w:r w:rsidRPr="00B8302F">
        <w:rPr>
          <w:color w:val="FF0000"/>
          <w:sz w:val="28"/>
          <w:szCs w:val="28"/>
        </w:rPr>
        <w:t xml:space="preserve"> Cấp huyện:</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w:t>
      </w:r>
      <w:r w:rsidRPr="00B8302F">
        <w:rPr>
          <w:color w:val="FF0000"/>
          <w:sz w:val="28"/>
          <w:szCs w:val="28"/>
        </w:rPr>
        <w:t xml:space="preserve"> Thành phố: </w:t>
      </w:r>
      <w:r w:rsidR="00B8302F" w:rsidRPr="00B8302F">
        <w:rPr>
          <w:color w:val="FF0000"/>
          <w:sz w:val="28"/>
          <w:szCs w:val="28"/>
          <w:lang w:val="en-US"/>
        </w:rPr>
        <w:t>4.950</w:t>
      </w:r>
      <w:r w:rsidRPr="00B8302F">
        <w:rPr>
          <w:color w:val="FF0000"/>
          <w:sz w:val="28"/>
          <w:szCs w:val="28"/>
        </w:rPr>
        <w:t xml:space="preserve"> triệu đồng/năm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w:t>
      </w:r>
      <w:r w:rsidRPr="00B8302F">
        <w:rPr>
          <w:color w:val="FF0000"/>
          <w:sz w:val="28"/>
          <w:szCs w:val="28"/>
        </w:rPr>
        <w:t xml:space="preserve"> Huyện Đakrông, Hướng Hóa: 3.</w:t>
      </w:r>
      <w:r w:rsidR="00B8302F" w:rsidRPr="00B8302F">
        <w:rPr>
          <w:color w:val="FF0000"/>
          <w:sz w:val="28"/>
          <w:szCs w:val="28"/>
          <w:lang w:val="en-US"/>
        </w:rPr>
        <w:t>520</w:t>
      </w:r>
      <w:r w:rsidRPr="00B8302F">
        <w:rPr>
          <w:color w:val="FF0000"/>
          <w:sz w:val="28"/>
          <w:szCs w:val="28"/>
        </w:rPr>
        <w:t xml:space="preserve"> triệu đồng/năm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w:t>
      </w:r>
      <w:r w:rsidRPr="00B8302F">
        <w:rPr>
          <w:color w:val="FF0000"/>
          <w:sz w:val="28"/>
          <w:szCs w:val="28"/>
        </w:rPr>
        <w:t xml:space="preserve"> Huyện đảo: 2</w:t>
      </w:r>
      <w:r w:rsidR="00B8302F" w:rsidRPr="00B8302F">
        <w:rPr>
          <w:color w:val="FF0000"/>
          <w:sz w:val="28"/>
          <w:szCs w:val="28"/>
          <w:lang w:val="en-US"/>
        </w:rPr>
        <w:t>.200</w:t>
      </w:r>
      <w:r w:rsidRPr="00B8302F">
        <w:rPr>
          <w:color w:val="FF0000"/>
          <w:sz w:val="28"/>
          <w:szCs w:val="28"/>
        </w:rPr>
        <w:t xml:space="preserve"> triệu đồng/năm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w:t>
      </w:r>
      <w:r w:rsidRPr="00B8302F">
        <w:rPr>
          <w:color w:val="FF0000"/>
          <w:sz w:val="28"/>
          <w:szCs w:val="28"/>
        </w:rPr>
        <w:t xml:space="preserve"> Thị xã, huyện còn lại: 3.</w:t>
      </w:r>
      <w:r w:rsidR="00B8302F" w:rsidRPr="00B8302F">
        <w:rPr>
          <w:color w:val="FF0000"/>
          <w:sz w:val="28"/>
          <w:szCs w:val="28"/>
          <w:lang w:val="en-US"/>
        </w:rPr>
        <w:t>3</w:t>
      </w:r>
      <w:r w:rsidRPr="00B8302F">
        <w:rPr>
          <w:color w:val="FF0000"/>
          <w:sz w:val="28"/>
          <w:szCs w:val="28"/>
        </w:rPr>
        <w:t>00 triệu đồng/năm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rPr>
      </w:pPr>
      <w:r w:rsidRPr="00B8302F">
        <w:rPr>
          <w:color w:val="FF0000"/>
          <w:sz w:val="28"/>
          <w:szCs w:val="28"/>
          <w:lang w:val="en-US"/>
        </w:rPr>
        <w:t>4.1.2.</w:t>
      </w:r>
      <w:r w:rsidRPr="00B8302F">
        <w:rPr>
          <w:color w:val="FF0000"/>
          <w:sz w:val="28"/>
          <w:szCs w:val="28"/>
        </w:rPr>
        <w:t xml:space="preserve"> Cấp xã:</w:t>
      </w:r>
    </w:p>
    <w:p w:rsidR="00BE76A4" w:rsidRPr="00B8302F" w:rsidRDefault="00BE76A4" w:rsidP="00BE76A4">
      <w:pPr>
        <w:spacing w:after="120"/>
        <w:ind w:firstLine="720"/>
        <w:jc w:val="both"/>
        <w:rPr>
          <w:color w:val="FF0000"/>
          <w:sz w:val="28"/>
          <w:szCs w:val="28"/>
        </w:rPr>
      </w:pPr>
      <w:r w:rsidRPr="00B8302F">
        <w:rPr>
          <w:color w:val="FF0000"/>
          <w:sz w:val="28"/>
          <w:szCs w:val="28"/>
          <w:lang w:val="en-US"/>
        </w:rPr>
        <w:t>a)</w:t>
      </w:r>
      <w:r w:rsidRPr="00B8302F">
        <w:rPr>
          <w:color w:val="FF0000"/>
          <w:sz w:val="28"/>
          <w:szCs w:val="28"/>
        </w:rPr>
        <w:t xml:space="preserve"> Hoạt động của </w:t>
      </w:r>
      <w:r w:rsidR="00AD5579" w:rsidRPr="00B8302F">
        <w:rPr>
          <w:color w:val="FF0000"/>
          <w:sz w:val="28"/>
          <w:szCs w:val="28"/>
          <w:lang w:val="en-US"/>
        </w:rPr>
        <w:t>c</w:t>
      </w:r>
      <w:r w:rsidRPr="00B8302F">
        <w:rPr>
          <w:color w:val="FF0000"/>
          <w:sz w:val="28"/>
          <w:szCs w:val="28"/>
        </w:rPr>
        <w:t>ấp ủy, UBND:</w:t>
      </w:r>
    </w:p>
    <w:p w:rsidR="00BE76A4" w:rsidRPr="00B8302F" w:rsidRDefault="00BE76A4" w:rsidP="00BE76A4">
      <w:pPr>
        <w:spacing w:after="120"/>
        <w:ind w:firstLine="720"/>
        <w:jc w:val="both"/>
        <w:rPr>
          <w:color w:val="FF0000"/>
          <w:sz w:val="28"/>
          <w:szCs w:val="28"/>
          <w:lang w:val="en-US"/>
        </w:rPr>
      </w:pPr>
      <w:r w:rsidRPr="00B8302F">
        <w:rPr>
          <w:color w:val="FF0000"/>
          <w:sz w:val="28"/>
          <w:szCs w:val="28"/>
        </w:rPr>
        <w:t>- Thành p</w:t>
      </w:r>
      <w:r w:rsidR="00B8302F" w:rsidRPr="00B8302F">
        <w:rPr>
          <w:color w:val="FF0000"/>
          <w:sz w:val="28"/>
          <w:szCs w:val="28"/>
        </w:rPr>
        <w:t>hố Đông Hà, thị xã Quảng Trị: 16</w:t>
      </w:r>
      <w:r w:rsidR="00B8302F" w:rsidRPr="00B8302F">
        <w:rPr>
          <w:color w:val="FF0000"/>
          <w:sz w:val="28"/>
          <w:szCs w:val="28"/>
          <w:lang w:val="en-US"/>
        </w:rPr>
        <w:t>5</w:t>
      </w:r>
      <w:r w:rsidRPr="00B8302F">
        <w:rPr>
          <w:color w:val="FF0000"/>
          <w:sz w:val="28"/>
          <w:szCs w:val="28"/>
        </w:rPr>
        <w:t xml:space="preserve"> triệu đồng/phường, xã/năm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w:t>
      </w:r>
      <w:r w:rsidRPr="00B8302F">
        <w:rPr>
          <w:color w:val="FF0000"/>
          <w:sz w:val="28"/>
          <w:szCs w:val="28"/>
        </w:rPr>
        <w:t xml:space="preserve"> Huyện Hướng Hóa, huyện Đakrông: 1</w:t>
      </w:r>
      <w:r w:rsidR="00B8302F" w:rsidRPr="00B8302F">
        <w:rPr>
          <w:color w:val="FF0000"/>
          <w:sz w:val="28"/>
          <w:szCs w:val="28"/>
          <w:lang w:val="en-US"/>
        </w:rPr>
        <w:t>21</w:t>
      </w:r>
      <w:r w:rsidRPr="00B8302F">
        <w:rPr>
          <w:color w:val="FF0000"/>
          <w:sz w:val="28"/>
          <w:szCs w:val="28"/>
        </w:rPr>
        <w:t xml:space="preserve"> triệu đồng/xã</w:t>
      </w:r>
      <w:r w:rsidR="00225C71" w:rsidRPr="00B8302F">
        <w:rPr>
          <w:color w:val="FF0000"/>
          <w:sz w:val="28"/>
          <w:szCs w:val="28"/>
          <w:lang w:val="en-US"/>
        </w:rPr>
        <w:t>, thị trấn</w:t>
      </w:r>
      <w:r w:rsidRPr="00B8302F">
        <w:rPr>
          <w:color w:val="FF0000"/>
          <w:sz w:val="28"/>
          <w:szCs w:val="28"/>
        </w:rPr>
        <w:t>/năm</w:t>
      </w:r>
      <w:r w:rsidRPr="00B8302F">
        <w:rPr>
          <w:color w:val="FF0000"/>
          <w:sz w:val="28"/>
          <w:szCs w:val="28"/>
          <w:lang w:val="en-US"/>
        </w:rPr>
        <w:t>.</w:t>
      </w:r>
    </w:p>
    <w:p w:rsidR="00BE76A4" w:rsidRPr="00B8302F" w:rsidRDefault="00BE76A4" w:rsidP="00BE76A4">
      <w:pPr>
        <w:spacing w:after="120"/>
        <w:ind w:firstLine="720"/>
        <w:jc w:val="both"/>
        <w:rPr>
          <w:color w:val="FF0000"/>
          <w:sz w:val="28"/>
          <w:szCs w:val="28"/>
        </w:rPr>
      </w:pPr>
      <w:r w:rsidRPr="00B8302F">
        <w:rPr>
          <w:color w:val="FF0000"/>
          <w:sz w:val="28"/>
          <w:szCs w:val="28"/>
          <w:lang w:val="en-US"/>
        </w:rPr>
        <w:t>-</w:t>
      </w:r>
      <w:r w:rsidRPr="00B8302F">
        <w:rPr>
          <w:color w:val="FF0000"/>
          <w:sz w:val="28"/>
          <w:szCs w:val="28"/>
        </w:rPr>
        <w:t xml:space="preserve"> Các huyện còn lại: 1</w:t>
      </w:r>
      <w:r w:rsidR="00B8302F" w:rsidRPr="00B8302F">
        <w:rPr>
          <w:color w:val="FF0000"/>
          <w:sz w:val="28"/>
          <w:szCs w:val="28"/>
          <w:lang w:val="en-US"/>
        </w:rPr>
        <w:t>1</w:t>
      </w:r>
      <w:r w:rsidRPr="00B8302F">
        <w:rPr>
          <w:color w:val="FF0000"/>
          <w:sz w:val="28"/>
          <w:szCs w:val="28"/>
        </w:rPr>
        <w:t>0 triệu đồng/xã</w:t>
      </w:r>
      <w:r w:rsidR="008A2139" w:rsidRPr="00B8302F">
        <w:rPr>
          <w:color w:val="FF0000"/>
          <w:sz w:val="28"/>
          <w:szCs w:val="28"/>
          <w:lang w:val="en-US"/>
        </w:rPr>
        <w:t>, thị trấn</w:t>
      </w:r>
      <w:r w:rsidRPr="00B8302F">
        <w:rPr>
          <w:color w:val="FF0000"/>
          <w:sz w:val="28"/>
          <w:szCs w:val="28"/>
        </w:rPr>
        <w:t>/năm.</w:t>
      </w:r>
    </w:p>
    <w:p w:rsidR="00BE76A4" w:rsidRPr="00B8302F" w:rsidRDefault="00BE76A4" w:rsidP="00BE76A4">
      <w:pPr>
        <w:spacing w:after="120"/>
        <w:ind w:firstLine="720"/>
        <w:jc w:val="both"/>
        <w:rPr>
          <w:color w:val="FF0000"/>
          <w:sz w:val="28"/>
          <w:szCs w:val="28"/>
          <w:lang w:val="en-US"/>
        </w:rPr>
      </w:pPr>
      <w:r w:rsidRPr="00B8302F">
        <w:rPr>
          <w:color w:val="FF0000"/>
          <w:sz w:val="28"/>
          <w:szCs w:val="28"/>
          <w:lang w:val="en-US"/>
        </w:rPr>
        <w:t>b)</w:t>
      </w:r>
      <w:r w:rsidRPr="00B8302F">
        <w:rPr>
          <w:color w:val="FF0000"/>
          <w:sz w:val="28"/>
          <w:szCs w:val="28"/>
        </w:rPr>
        <w:t xml:space="preserve"> Hoạt động của HĐND cấp xã: </w:t>
      </w:r>
      <w:r w:rsidR="00B8302F" w:rsidRPr="00B8302F">
        <w:rPr>
          <w:color w:val="FF0000"/>
          <w:sz w:val="28"/>
          <w:szCs w:val="28"/>
          <w:lang w:val="en-US"/>
        </w:rPr>
        <w:t>5,85</w:t>
      </w:r>
      <w:r w:rsidRPr="00B8302F">
        <w:rPr>
          <w:color w:val="FF0000"/>
          <w:sz w:val="28"/>
          <w:szCs w:val="28"/>
        </w:rPr>
        <w:t xml:space="preserve"> triệu đồng/đại biểu/năm</w:t>
      </w:r>
      <w:r w:rsidRPr="00B8302F">
        <w:rPr>
          <w:color w:val="FF0000"/>
          <w:sz w:val="28"/>
          <w:szCs w:val="28"/>
          <w:lang w:val="en-US"/>
        </w:rPr>
        <w:t>.</w:t>
      </w:r>
    </w:p>
    <w:p w:rsidR="00BE76A4" w:rsidRPr="000963DA" w:rsidRDefault="00BE76A4" w:rsidP="00BE76A4">
      <w:pPr>
        <w:spacing w:after="120"/>
        <w:ind w:firstLine="720"/>
        <w:jc w:val="both"/>
        <w:rPr>
          <w:sz w:val="28"/>
          <w:szCs w:val="28"/>
        </w:rPr>
      </w:pPr>
      <w:r w:rsidRPr="000963DA">
        <w:rPr>
          <w:sz w:val="28"/>
          <w:szCs w:val="28"/>
          <w:lang w:val="en-US"/>
        </w:rPr>
        <w:lastRenderedPageBreak/>
        <w:t>4.2.</w:t>
      </w:r>
      <w:r w:rsidRPr="000963DA">
        <w:rPr>
          <w:sz w:val="28"/>
          <w:szCs w:val="28"/>
        </w:rPr>
        <w:t xml:space="preserve"> </w:t>
      </w:r>
      <w:r w:rsidRPr="000963DA">
        <w:rPr>
          <w:sz w:val="28"/>
          <w:szCs w:val="28"/>
          <w:lang w:val="en-US"/>
        </w:rPr>
        <w:t>B</w:t>
      </w:r>
      <w:r w:rsidRPr="000963DA">
        <w:rPr>
          <w:sz w:val="28"/>
          <w:szCs w:val="28"/>
        </w:rPr>
        <w:t xml:space="preserve">ổ sung thêm </w:t>
      </w:r>
      <w:r w:rsidR="00437C10">
        <w:rPr>
          <w:sz w:val="28"/>
          <w:szCs w:val="28"/>
          <w:lang w:val="en-US"/>
        </w:rPr>
        <w:t xml:space="preserve">cho các huyện, thành phố, thị xã </w:t>
      </w:r>
      <w:r w:rsidRPr="000963DA">
        <w:rPr>
          <w:sz w:val="28"/>
          <w:szCs w:val="28"/>
        </w:rPr>
        <w:t>một phần để đảm bảo</w:t>
      </w:r>
      <w:r w:rsidRPr="000963DA">
        <w:rPr>
          <w:sz w:val="28"/>
          <w:szCs w:val="28"/>
          <w:lang w:val="en-US"/>
        </w:rPr>
        <w:t xml:space="preserve"> kinh phí</w:t>
      </w:r>
      <w:r w:rsidRPr="000963DA">
        <w:rPr>
          <w:sz w:val="28"/>
          <w:szCs w:val="28"/>
        </w:rPr>
        <w:t xml:space="preserve"> hoạt động</w:t>
      </w:r>
      <w:r w:rsidRPr="000963DA">
        <w:rPr>
          <w:sz w:val="28"/>
          <w:szCs w:val="28"/>
          <w:lang w:val="en-US"/>
        </w:rPr>
        <w:t xml:space="preserve"> t</w:t>
      </w:r>
      <w:r w:rsidRPr="000963DA">
        <w:rPr>
          <w:sz w:val="28"/>
          <w:szCs w:val="28"/>
        </w:rPr>
        <w:t>heo số lượng đơn vị hành chính cấp xã trên địa bàn, cụ thể:</w:t>
      </w:r>
    </w:p>
    <w:p w:rsidR="00BE76A4" w:rsidRPr="00B8302F" w:rsidRDefault="00BE76A4" w:rsidP="00BE76A4">
      <w:pPr>
        <w:spacing w:after="120"/>
        <w:ind w:firstLine="720"/>
        <w:jc w:val="both"/>
        <w:rPr>
          <w:color w:val="FF0000"/>
          <w:sz w:val="28"/>
          <w:szCs w:val="28"/>
          <w:lang w:val="en-US"/>
        </w:rPr>
      </w:pPr>
      <w:r w:rsidRPr="00B8302F">
        <w:rPr>
          <w:color w:val="FF0000"/>
          <w:sz w:val="28"/>
          <w:szCs w:val="28"/>
        </w:rPr>
        <w:t xml:space="preserve">- </w:t>
      </w:r>
      <w:r w:rsidR="00437C10" w:rsidRPr="00B8302F">
        <w:rPr>
          <w:color w:val="FF0000"/>
          <w:sz w:val="28"/>
          <w:szCs w:val="28"/>
          <w:lang w:val="en-US"/>
        </w:rPr>
        <w:t>S</w:t>
      </w:r>
      <w:r w:rsidR="00437C10" w:rsidRPr="00B8302F">
        <w:rPr>
          <w:color w:val="FF0000"/>
          <w:sz w:val="28"/>
          <w:szCs w:val="28"/>
        </w:rPr>
        <w:t>ố đơn vị hành chính cấp xã</w:t>
      </w:r>
      <w:r w:rsidR="00437C10" w:rsidRPr="00B8302F">
        <w:rPr>
          <w:color w:val="FF0000"/>
          <w:sz w:val="28"/>
          <w:szCs w:val="28"/>
          <w:lang w:val="en-US"/>
        </w:rPr>
        <w:t xml:space="preserve"> </w:t>
      </w:r>
      <w:r w:rsidRPr="00B8302F">
        <w:rPr>
          <w:color w:val="FF0000"/>
          <w:sz w:val="28"/>
          <w:szCs w:val="28"/>
        </w:rPr>
        <w:t>dưới 9 xã: 200 triệu đồng</w:t>
      </w:r>
      <w:r w:rsidR="00520274" w:rsidRPr="00B8302F">
        <w:rPr>
          <w:color w:val="FF0000"/>
          <w:sz w:val="28"/>
          <w:szCs w:val="28"/>
          <w:lang w:val="en-US"/>
        </w:rPr>
        <w:t>.</w:t>
      </w:r>
    </w:p>
    <w:p w:rsidR="00437C10" w:rsidRPr="00B8302F" w:rsidRDefault="00BE76A4" w:rsidP="00BE76A4">
      <w:pPr>
        <w:spacing w:after="120"/>
        <w:ind w:firstLine="720"/>
        <w:jc w:val="both"/>
        <w:rPr>
          <w:color w:val="FF0000"/>
          <w:sz w:val="28"/>
          <w:szCs w:val="28"/>
          <w:lang w:val="en-US"/>
        </w:rPr>
      </w:pPr>
      <w:r w:rsidRPr="00B8302F">
        <w:rPr>
          <w:color w:val="FF0000"/>
          <w:sz w:val="28"/>
          <w:szCs w:val="28"/>
        </w:rPr>
        <w:t xml:space="preserve">- </w:t>
      </w:r>
      <w:r w:rsidR="00437C10" w:rsidRPr="00B8302F">
        <w:rPr>
          <w:color w:val="FF0000"/>
          <w:sz w:val="28"/>
          <w:szCs w:val="28"/>
          <w:lang w:val="en-US"/>
        </w:rPr>
        <w:t>S</w:t>
      </w:r>
      <w:r w:rsidR="00437C10" w:rsidRPr="00B8302F">
        <w:rPr>
          <w:color w:val="FF0000"/>
          <w:sz w:val="28"/>
          <w:szCs w:val="28"/>
        </w:rPr>
        <w:t>ố đơn vị hành chính cấp xã</w:t>
      </w:r>
      <w:r w:rsidR="00437C10" w:rsidRPr="00B8302F">
        <w:rPr>
          <w:color w:val="FF0000"/>
          <w:sz w:val="28"/>
          <w:szCs w:val="28"/>
          <w:lang w:val="en-US"/>
        </w:rPr>
        <w:t xml:space="preserve"> </w:t>
      </w:r>
      <w:r w:rsidRPr="00B8302F">
        <w:rPr>
          <w:color w:val="FF0000"/>
          <w:sz w:val="28"/>
          <w:szCs w:val="28"/>
        </w:rPr>
        <w:t>từ 9-15 xã: 400 triệu đồng</w:t>
      </w:r>
      <w:r w:rsidR="00437C10" w:rsidRPr="00B8302F">
        <w:rPr>
          <w:color w:val="FF0000"/>
          <w:sz w:val="28"/>
          <w:szCs w:val="28"/>
          <w:lang w:val="en-US"/>
        </w:rPr>
        <w:t>.</w:t>
      </w:r>
    </w:p>
    <w:p w:rsidR="00BE76A4" w:rsidRPr="00B8302F" w:rsidRDefault="00BE76A4" w:rsidP="00BE76A4">
      <w:pPr>
        <w:spacing w:after="120"/>
        <w:ind w:firstLine="720"/>
        <w:jc w:val="both"/>
        <w:rPr>
          <w:color w:val="FF0000"/>
          <w:sz w:val="28"/>
          <w:szCs w:val="28"/>
          <w:lang w:val="en-US"/>
        </w:rPr>
      </w:pPr>
      <w:r w:rsidRPr="00B8302F">
        <w:rPr>
          <w:color w:val="FF0000"/>
          <w:sz w:val="28"/>
          <w:szCs w:val="28"/>
        </w:rPr>
        <w:t xml:space="preserve">- </w:t>
      </w:r>
      <w:r w:rsidR="00437C10" w:rsidRPr="00B8302F">
        <w:rPr>
          <w:color w:val="FF0000"/>
          <w:sz w:val="28"/>
          <w:szCs w:val="28"/>
          <w:lang w:val="en-US"/>
        </w:rPr>
        <w:t>S</w:t>
      </w:r>
      <w:r w:rsidR="00437C10" w:rsidRPr="00B8302F">
        <w:rPr>
          <w:color w:val="FF0000"/>
          <w:sz w:val="28"/>
          <w:szCs w:val="28"/>
        </w:rPr>
        <w:t>ố đơn vị hành chính cấp xã</w:t>
      </w:r>
      <w:r w:rsidR="00437C10" w:rsidRPr="00B8302F">
        <w:rPr>
          <w:color w:val="FF0000"/>
          <w:sz w:val="28"/>
          <w:szCs w:val="28"/>
          <w:lang w:val="en-US"/>
        </w:rPr>
        <w:t xml:space="preserve"> </w:t>
      </w:r>
      <w:r w:rsidRPr="00B8302F">
        <w:rPr>
          <w:color w:val="FF0000"/>
          <w:sz w:val="28"/>
          <w:szCs w:val="28"/>
        </w:rPr>
        <w:t>trên 15 xã: 665 triệu đồng/huyện</w:t>
      </w:r>
      <w:r w:rsidR="00BD1B53" w:rsidRPr="00B8302F">
        <w:rPr>
          <w:color w:val="FF0000"/>
          <w:sz w:val="28"/>
          <w:szCs w:val="28"/>
          <w:lang w:val="en-US"/>
        </w:rPr>
        <w:t>.</w:t>
      </w:r>
    </w:p>
    <w:p w:rsidR="00BE76A4" w:rsidRPr="00BF40BF" w:rsidRDefault="00BE76A4" w:rsidP="00BE76A4">
      <w:pPr>
        <w:spacing w:after="120"/>
        <w:ind w:firstLine="720"/>
        <w:jc w:val="both"/>
        <w:rPr>
          <w:b/>
          <w:sz w:val="28"/>
          <w:szCs w:val="28"/>
        </w:rPr>
      </w:pPr>
      <w:r w:rsidRPr="00BF40BF">
        <w:rPr>
          <w:b/>
          <w:sz w:val="28"/>
          <w:szCs w:val="28"/>
        </w:rPr>
        <w:t>Điều 4. Chi sự nghiệp giáo dục và đào tạo</w:t>
      </w:r>
    </w:p>
    <w:p w:rsidR="00BE76A4" w:rsidRPr="00BF40BF" w:rsidRDefault="00BE76A4" w:rsidP="00BE76A4">
      <w:pPr>
        <w:spacing w:after="120"/>
        <w:ind w:firstLine="720"/>
        <w:jc w:val="both"/>
        <w:rPr>
          <w:b/>
          <w:sz w:val="28"/>
          <w:szCs w:val="28"/>
        </w:rPr>
      </w:pPr>
      <w:r w:rsidRPr="00BF40BF">
        <w:rPr>
          <w:b/>
          <w:sz w:val="28"/>
          <w:szCs w:val="28"/>
        </w:rPr>
        <w:t>1. Định mức phân bổ chi sự nghiệp giáo dục</w:t>
      </w:r>
    </w:p>
    <w:p w:rsidR="00BE76A4" w:rsidRPr="00BF40BF" w:rsidRDefault="00BE76A4" w:rsidP="00BE76A4">
      <w:pPr>
        <w:spacing w:after="120"/>
        <w:ind w:firstLine="720"/>
        <w:jc w:val="both"/>
        <w:rPr>
          <w:sz w:val="28"/>
          <w:szCs w:val="28"/>
          <w:lang w:val="en-US"/>
        </w:rPr>
      </w:pPr>
      <w:r w:rsidRPr="00BF40BF">
        <w:rPr>
          <w:sz w:val="28"/>
          <w:szCs w:val="28"/>
          <w:lang w:val="en-US"/>
        </w:rPr>
        <w:t>1.1.</w:t>
      </w:r>
      <w:r w:rsidRPr="00BF40BF">
        <w:rPr>
          <w:sz w:val="28"/>
          <w:szCs w:val="28"/>
        </w:rPr>
        <w:t xml:space="preserve"> </w:t>
      </w:r>
      <w:r w:rsidRPr="00BF40BF">
        <w:rPr>
          <w:bCs/>
          <w:sz w:val="28"/>
          <w:szCs w:val="28"/>
          <w:lang w:val="en-US"/>
        </w:rPr>
        <w:t xml:space="preserve">Định mức chi khác tính </w:t>
      </w:r>
      <w:r w:rsidRPr="00BF40BF">
        <w:rPr>
          <w:sz w:val="28"/>
          <w:szCs w:val="28"/>
        </w:rPr>
        <w:t xml:space="preserve">phân bổ cho </w:t>
      </w:r>
      <w:r w:rsidR="00C93875" w:rsidRPr="00BF40BF">
        <w:rPr>
          <w:sz w:val="28"/>
          <w:szCs w:val="28"/>
        </w:rPr>
        <w:t>Sở Giáo dục và Đào tạo</w:t>
      </w:r>
      <w:r w:rsidR="00C93875">
        <w:rPr>
          <w:sz w:val="28"/>
          <w:szCs w:val="28"/>
          <w:lang w:val="en-US"/>
        </w:rPr>
        <w:t xml:space="preserve">, </w:t>
      </w:r>
      <w:r w:rsidRPr="00BF40BF">
        <w:rPr>
          <w:sz w:val="28"/>
          <w:szCs w:val="28"/>
        </w:rPr>
        <w:t>các huyện, thành phố, thị xã</w:t>
      </w:r>
      <w:r w:rsidRPr="00BF40BF">
        <w:rPr>
          <w:sz w:val="28"/>
          <w:szCs w:val="28"/>
          <w:lang w:val="en-US"/>
        </w:rPr>
        <w:t>:</w:t>
      </w:r>
    </w:p>
    <w:p w:rsidR="00BE76A4" w:rsidRPr="00BF40BF" w:rsidRDefault="00BE76A4" w:rsidP="00BE76A4">
      <w:pPr>
        <w:spacing w:after="120"/>
        <w:ind w:firstLine="720"/>
        <w:jc w:val="both"/>
        <w:rPr>
          <w:sz w:val="28"/>
          <w:szCs w:val="28"/>
        </w:rPr>
      </w:pPr>
      <w:r w:rsidRPr="00BF40BF">
        <w:rPr>
          <w:sz w:val="28"/>
          <w:szCs w:val="28"/>
          <w:lang w:val="en-US"/>
        </w:rPr>
        <w:t>a)</w:t>
      </w:r>
      <w:r w:rsidRPr="00BF40BF">
        <w:rPr>
          <w:sz w:val="28"/>
          <w:szCs w:val="28"/>
        </w:rPr>
        <w:t xml:space="preserve"> </w:t>
      </w:r>
      <w:r w:rsidRPr="00BF40BF">
        <w:rPr>
          <w:sz w:val="28"/>
          <w:szCs w:val="28"/>
          <w:lang w:val="en-US"/>
        </w:rPr>
        <w:t>C</w:t>
      </w:r>
      <w:r w:rsidRPr="00BF40BF">
        <w:rPr>
          <w:sz w:val="28"/>
          <w:szCs w:val="28"/>
        </w:rPr>
        <w:t>ăn cứ vào số biên chế được giao</w:t>
      </w:r>
      <w:r w:rsidRPr="00BF40BF">
        <w:rPr>
          <w:sz w:val="28"/>
          <w:szCs w:val="28"/>
          <w:lang w:val="en-US"/>
        </w:rPr>
        <w:t xml:space="preserve">; </w:t>
      </w:r>
      <w:r w:rsidRPr="00BF40BF">
        <w:rPr>
          <w:sz w:val="28"/>
          <w:szCs w:val="28"/>
        </w:rPr>
        <w:t>phân bổ theo tỷ lệ giữa tổng quỹ tiền lương, phụ cấp, các khoản đóng góp theo lương và chi khác để đảm bảo các hoạt động thường xuyên</w:t>
      </w:r>
      <w:r w:rsidRPr="00BF40BF">
        <w:rPr>
          <w:sz w:val="28"/>
          <w:szCs w:val="28"/>
          <w:lang w:val="en-US"/>
        </w:rPr>
        <w:t>, c</w:t>
      </w:r>
      <w:r w:rsidRPr="00BF40BF">
        <w:rPr>
          <w:sz w:val="28"/>
          <w:szCs w:val="28"/>
        </w:rPr>
        <w:t xml:space="preserve">ụ thể: </w:t>
      </w:r>
    </w:p>
    <w:p w:rsidR="00BE76A4" w:rsidRPr="00C2399A" w:rsidRDefault="00BE76A4" w:rsidP="00BE76A4">
      <w:pPr>
        <w:spacing w:after="120"/>
        <w:ind w:firstLine="720"/>
        <w:jc w:val="both"/>
        <w:rPr>
          <w:sz w:val="28"/>
          <w:szCs w:val="28"/>
        </w:rPr>
      </w:pPr>
      <w:r w:rsidRPr="00BF40BF">
        <w:rPr>
          <w:sz w:val="28"/>
          <w:szCs w:val="28"/>
        </w:rPr>
        <w:t>- Định mức phân bổ theo tỷ lệ giữa tổng quỹ tiền lương, chi hoạt động</w:t>
      </w:r>
      <w:r w:rsidRPr="00BF40BF">
        <w:rPr>
          <w:sz w:val="28"/>
          <w:szCs w:val="28"/>
          <w:lang w:val="en-US"/>
        </w:rPr>
        <w:t xml:space="preserve"> </w:t>
      </w:r>
      <w:r w:rsidRPr="00BF40BF">
        <w:rPr>
          <w:sz w:val="28"/>
          <w:szCs w:val="28"/>
        </w:rPr>
        <w:t xml:space="preserve">thường xuyên đảm bảo theo nguyên tắc: tỷ lệ chi tiền lương, phụ cấp, các khoản có tính chất lương (bao gồm bảo hiểm xã hội, bảo hiểm y tế, bảo hiểm thất nghiệp, kinh phí công đoàn) tối đa 81% và </w:t>
      </w:r>
      <w:r w:rsidR="007B2A48">
        <w:rPr>
          <w:sz w:val="28"/>
          <w:szCs w:val="28"/>
          <w:lang w:val="en-US"/>
        </w:rPr>
        <w:t xml:space="preserve">tối thiểu 19% </w:t>
      </w:r>
      <w:r w:rsidRPr="00BF40BF">
        <w:rPr>
          <w:sz w:val="28"/>
          <w:szCs w:val="28"/>
        </w:rPr>
        <w:t xml:space="preserve">chi thường xuyên </w:t>
      </w:r>
      <w:r w:rsidRPr="00BF40BF">
        <w:rPr>
          <w:sz w:val="28"/>
          <w:szCs w:val="28"/>
          <w:lang w:val="en-US"/>
        </w:rPr>
        <w:t xml:space="preserve">(chi khác) </w:t>
      </w:r>
      <w:r w:rsidRPr="006B2156">
        <w:rPr>
          <w:sz w:val="28"/>
          <w:szCs w:val="28"/>
          <w:lang w:val="it-IT"/>
        </w:rPr>
        <w:t xml:space="preserve">để chi hoạt động có tính chất thường xuyên cho công tác giảng dạy, học tập và các khoản chi mua sắm, sửa chữa nhỏ thường xuyên </w:t>
      </w:r>
      <w:r w:rsidRPr="00BF40BF">
        <w:rPr>
          <w:sz w:val="28"/>
          <w:szCs w:val="28"/>
          <w:lang w:val="en-US"/>
        </w:rPr>
        <w:t>(</w:t>
      </w:r>
      <w:r w:rsidRPr="00BF40BF">
        <w:rPr>
          <w:sz w:val="28"/>
          <w:szCs w:val="28"/>
        </w:rPr>
        <w:t xml:space="preserve">chi khác </w:t>
      </w:r>
      <w:r w:rsidRPr="00C2399A">
        <w:rPr>
          <w:sz w:val="28"/>
          <w:szCs w:val="28"/>
        </w:rPr>
        <w:t xml:space="preserve">theo lương cơ sở 1.490.000 đồng). </w:t>
      </w:r>
    </w:p>
    <w:p w:rsidR="00870568" w:rsidRDefault="00BE76A4" w:rsidP="00BE76A4">
      <w:pPr>
        <w:spacing w:after="120"/>
        <w:ind w:firstLine="720"/>
        <w:jc w:val="both"/>
        <w:rPr>
          <w:sz w:val="28"/>
          <w:szCs w:val="28"/>
          <w:lang w:val="it-IT"/>
        </w:rPr>
      </w:pPr>
      <w:r w:rsidRPr="00C2399A">
        <w:rPr>
          <w:sz w:val="28"/>
          <w:szCs w:val="28"/>
        </w:rPr>
        <w:t xml:space="preserve">- Định mức chi khác </w:t>
      </w:r>
      <w:r w:rsidRPr="00C2399A">
        <w:rPr>
          <w:sz w:val="28"/>
          <w:szCs w:val="28"/>
          <w:lang w:val="en-US"/>
        </w:rPr>
        <w:t>g</w:t>
      </w:r>
      <w:r w:rsidRPr="00C2399A">
        <w:rPr>
          <w:sz w:val="28"/>
          <w:szCs w:val="28"/>
        </w:rPr>
        <w:t>ồm các nội dung chi nghiệp vụ chuyên môn của ngành giáo dục; chi hỗ trợ</w:t>
      </w:r>
      <w:r w:rsidRPr="00C2399A">
        <w:rPr>
          <w:sz w:val="28"/>
          <w:szCs w:val="28"/>
          <w:lang w:val="en-US"/>
        </w:rPr>
        <w:t xml:space="preserve"> </w:t>
      </w:r>
      <w:r w:rsidRPr="00C2399A">
        <w:rPr>
          <w:sz w:val="28"/>
          <w:szCs w:val="28"/>
        </w:rPr>
        <w:t>các trường đạt chuẩn quốc gia, chi duy trì công tác phổ cập giáo dục các cấp, chi hỗ</w:t>
      </w:r>
      <w:r w:rsidRPr="00C2399A">
        <w:rPr>
          <w:sz w:val="28"/>
          <w:szCs w:val="28"/>
          <w:lang w:val="en-US"/>
        </w:rPr>
        <w:t xml:space="preserve"> </w:t>
      </w:r>
      <w:r w:rsidRPr="00C2399A">
        <w:rPr>
          <w:sz w:val="28"/>
          <w:szCs w:val="28"/>
        </w:rPr>
        <w:t>trợ các hoạt động chuyên môn thuộc lĩnh vực của ngành</w:t>
      </w:r>
      <w:r w:rsidR="005D4F87" w:rsidRPr="00C2399A">
        <w:rPr>
          <w:sz w:val="28"/>
          <w:szCs w:val="28"/>
          <w:lang w:val="en-US"/>
        </w:rPr>
        <w:t xml:space="preserve">, </w:t>
      </w:r>
      <w:r w:rsidR="005D4F87" w:rsidRPr="00C2399A">
        <w:rPr>
          <w:sz w:val="28"/>
          <w:szCs w:val="28"/>
          <w:lang w:val="it-IT"/>
        </w:rPr>
        <w:t xml:space="preserve">các khoản chi mua sắm, sửa chữa nhỏ thường </w:t>
      </w:r>
      <w:r w:rsidR="005D4F87" w:rsidRPr="00C55E39">
        <w:rPr>
          <w:sz w:val="28"/>
          <w:szCs w:val="28"/>
          <w:lang w:val="it-IT"/>
        </w:rPr>
        <w:t>xuyên.</w:t>
      </w:r>
    </w:p>
    <w:p w:rsidR="00BE76A4" w:rsidRPr="00BF40BF" w:rsidRDefault="00BE76A4" w:rsidP="00BE76A4">
      <w:pPr>
        <w:spacing w:after="120"/>
        <w:ind w:firstLine="720"/>
        <w:jc w:val="both"/>
        <w:rPr>
          <w:color w:val="FF0000"/>
          <w:sz w:val="28"/>
          <w:szCs w:val="28"/>
        </w:rPr>
      </w:pPr>
      <w:r w:rsidRPr="00BF40BF">
        <w:rPr>
          <w:color w:val="FF0000"/>
          <w:sz w:val="28"/>
          <w:szCs w:val="28"/>
        </w:rPr>
        <w:t xml:space="preserve">- Thực hiện theo quy định hiện hành của Nhà nước về chế độ tự chủ, tự chịu trách nhiệm về tài chính đối với đơn vị sự nghiệp công lập. </w:t>
      </w:r>
    </w:p>
    <w:p w:rsidR="00BE76A4" w:rsidRPr="00BF40BF" w:rsidRDefault="00BE76A4" w:rsidP="00BE76A4">
      <w:pPr>
        <w:spacing w:after="120"/>
        <w:ind w:firstLine="720"/>
        <w:jc w:val="both"/>
        <w:rPr>
          <w:sz w:val="28"/>
          <w:szCs w:val="28"/>
        </w:rPr>
      </w:pPr>
      <w:r w:rsidRPr="00BF40BF">
        <w:rPr>
          <w:sz w:val="28"/>
          <w:szCs w:val="28"/>
        </w:rPr>
        <w:t xml:space="preserve">- Mức kinh phí ngân sách cấp cho hoạt động được giao ổn định trong thời kỳ ổn định </w:t>
      </w:r>
      <w:r w:rsidRPr="00BF40BF">
        <w:rPr>
          <w:sz w:val="28"/>
          <w:szCs w:val="28"/>
          <w:lang w:val="en-US"/>
        </w:rPr>
        <w:t>2022-2025</w:t>
      </w:r>
      <w:r w:rsidRPr="00BF40BF">
        <w:rPr>
          <w:sz w:val="28"/>
          <w:szCs w:val="28"/>
        </w:rPr>
        <w:t xml:space="preserve">. Từng năm trong thời kỳ ổn định ngân sách </w:t>
      </w:r>
      <w:r w:rsidRPr="00BF40BF">
        <w:rPr>
          <w:sz w:val="28"/>
          <w:szCs w:val="28"/>
          <w:lang w:val="en-US"/>
        </w:rPr>
        <w:t>mới</w:t>
      </w:r>
      <w:r w:rsidRPr="00BF40BF">
        <w:rPr>
          <w:sz w:val="28"/>
          <w:szCs w:val="28"/>
        </w:rPr>
        <w:t>, tùy theo khả năng cân đối ngân sách, HĐND</w:t>
      </w:r>
      <w:r w:rsidRPr="00BF40BF">
        <w:rPr>
          <w:sz w:val="28"/>
          <w:szCs w:val="28"/>
          <w:lang w:val="en-US"/>
        </w:rPr>
        <w:t xml:space="preserve"> tỉnh</w:t>
      </w:r>
      <w:r w:rsidRPr="00BF40BF">
        <w:rPr>
          <w:sz w:val="28"/>
          <w:szCs w:val="28"/>
        </w:rPr>
        <w:t>, UBND tỉnh thực hiện ưu tiên bố trí</w:t>
      </w:r>
      <w:r w:rsidR="009C7E3E">
        <w:rPr>
          <w:sz w:val="28"/>
          <w:szCs w:val="28"/>
          <w:lang w:val="en-US"/>
        </w:rPr>
        <w:t xml:space="preserve"> thêm</w:t>
      </w:r>
      <w:r w:rsidRPr="00BF40BF">
        <w:rPr>
          <w:sz w:val="28"/>
          <w:szCs w:val="28"/>
        </w:rPr>
        <w:t xml:space="preserve"> ngân sách địa phương cho hoạt động giảng dạy và học tập</w:t>
      </w:r>
      <w:r w:rsidR="00270DF4">
        <w:rPr>
          <w:sz w:val="28"/>
          <w:szCs w:val="28"/>
          <w:lang w:val="en-US"/>
        </w:rPr>
        <w:t xml:space="preserve">; </w:t>
      </w:r>
      <w:r w:rsidR="00270DF4" w:rsidRPr="006B2156">
        <w:rPr>
          <w:sz w:val="28"/>
          <w:szCs w:val="28"/>
          <w:lang w:val="it-IT"/>
        </w:rPr>
        <w:t xml:space="preserve">chi mua sắm, sửa chữa </w:t>
      </w:r>
      <w:r w:rsidR="00270DF4">
        <w:rPr>
          <w:sz w:val="28"/>
          <w:szCs w:val="28"/>
          <w:lang w:val="it-IT"/>
        </w:rPr>
        <w:t>thường xuyên</w:t>
      </w:r>
      <w:r w:rsidRPr="00BF40BF">
        <w:rPr>
          <w:sz w:val="28"/>
          <w:szCs w:val="28"/>
        </w:rPr>
        <w:t xml:space="preserve">. </w:t>
      </w:r>
    </w:p>
    <w:p w:rsidR="00BE76A4" w:rsidRDefault="00BE76A4" w:rsidP="00BE76A4">
      <w:pPr>
        <w:spacing w:after="120"/>
        <w:ind w:firstLine="720"/>
        <w:jc w:val="both"/>
        <w:rPr>
          <w:color w:val="FF0000"/>
          <w:sz w:val="28"/>
          <w:szCs w:val="28"/>
        </w:rPr>
      </w:pPr>
      <w:r w:rsidRPr="00BF40BF">
        <w:rPr>
          <w:color w:val="FF0000"/>
          <w:sz w:val="28"/>
          <w:szCs w:val="28"/>
          <w:lang w:val="en-US"/>
        </w:rPr>
        <w:t xml:space="preserve">- </w:t>
      </w:r>
      <w:r w:rsidRPr="00BF40BF">
        <w:rPr>
          <w:color w:val="FF0000"/>
          <w:sz w:val="28"/>
          <w:szCs w:val="28"/>
        </w:rPr>
        <w:t>Tỷ lệ này chỉ áp dụng đối với năm 2022, năm đầu thời kỳ ổn định ngân sách mới giữa ngân sách tỉnh và ngân sách huyện, thành phố</w:t>
      </w:r>
      <w:r w:rsidRPr="00BF40BF">
        <w:rPr>
          <w:color w:val="FF0000"/>
          <w:sz w:val="28"/>
          <w:szCs w:val="28"/>
          <w:lang w:val="en-US"/>
        </w:rPr>
        <w:t>, thị xã</w:t>
      </w:r>
      <w:r w:rsidRPr="00BF40BF">
        <w:rPr>
          <w:color w:val="FF0000"/>
          <w:sz w:val="28"/>
          <w:szCs w:val="28"/>
        </w:rPr>
        <w:t>; từng năm trong thời kỳ ổn định ngân sách mới, HĐND các huyện, thành phố</w:t>
      </w:r>
      <w:r w:rsidRPr="00BF40BF">
        <w:rPr>
          <w:color w:val="FF0000"/>
          <w:sz w:val="28"/>
          <w:szCs w:val="28"/>
          <w:lang w:val="en-US"/>
        </w:rPr>
        <w:t>, thị xã</w:t>
      </w:r>
      <w:r w:rsidRPr="00BF40BF">
        <w:rPr>
          <w:color w:val="FF0000"/>
          <w:sz w:val="28"/>
          <w:szCs w:val="28"/>
        </w:rPr>
        <w:t xml:space="preserve"> quyết định </w:t>
      </w:r>
      <w:r w:rsidR="007D0E0B">
        <w:rPr>
          <w:color w:val="FF0000"/>
          <w:sz w:val="28"/>
          <w:szCs w:val="28"/>
          <w:lang w:val="en-US"/>
        </w:rPr>
        <w:t xml:space="preserve">tăng tỷ lệ chi khác </w:t>
      </w:r>
      <w:r w:rsidRPr="00BF40BF">
        <w:rPr>
          <w:color w:val="FF0000"/>
          <w:sz w:val="28"/>
          <w:szCs w:val="28"/>
        </w:rPr>
        <w:t>phù hợp với khả năng ngân sách và điều kiện thực tế của từng địa phương.</w:t>
      </w:r>
    </w:p>
    <w:p w:rsidR="00192F95" w:rsidRDefault="00BE76A4" w:rsidP="00BE76A4">
      <w:pPr>
        <w:spacing w:after="120"/>
        <w:ind w:firstLine="720"/>
        <w:jc w:val="both"/>
        <w:rPr>
          <w:sz w:val="28"/>
          <w:szCs w:val="28"/>
          <w:lang w:val="en-US"/>
        </w:rPr>
      </w:pPr>
      <w:r w:rsidRPr="00836F9D">
        <w:rPr>
          <w:sz w:val="28"/>
          <w:szCs w:val="28"/>
        </w:rPr>
        <w:t xml:space="preserve">c) </w:t>
      </w:r>
      <w:r w:rsidRPr="00373405">
        <w:rPr>
          <w:sz w:val="28"/>
          <w:szCs w:val="28"/>
        </w:rPr>
        <w:t>Định mức phân bổ theo tiêu chí bổ sung</w:t>
      </w:r>
      <w:r w:rsidR="00192F95">
        <w:rPr>
          <w:sz w:val="28"/>
          <w:szCs w:val="28"/>
          <w:lang w:val="en-US"/>
        </w:rPr>
        <w:t>:</w:t>
      </w:r>
    </w:p>
    <w:p w:rsidR="00836F9D" w:rsidRPr="00192F95" w:rsidRDefault="00192F95" w:rsidP="00BE76A4">
      <w:pPr>
        <w:spacing w:after="120"/>
        <w:ind w:firstLine="720"/>
        <w:jc w:val="both"/>
        <w:rPr>
          <w:color w:val="FF0000"/>
          <w:sz w:val="28"/>
          <w:szCs w:val="28"/>
          <w:lang w:val="en-US"/>
        </w:rPr>
      </w:pPr>
      <w:r w:rsidRPr="00192F95">
        <w:rPr>
          <w:color w:val="FF0000"/>
          <w:sz w:val="28"/>
          <w:szCs w:val="28"/>
          <w:lang w:val="en-US"/>
        </w:rPr>
        <w:t>-</w:t>
      </w:r>
      <w:r w:rsidR="00836F9D" w:rsidRPr="00192F95">
        <w:rPr>
          <w:color w:val="FF0000"/>
          <w:sz w:val="28"/>
          <w:szCs w:val="28"/>
        </w:rPr>
        <w:t xml:space="preserve"> </w:t>
      </w:r>
      <w:r w:rsidRPr="00192F95">
        <w:rPr>
          <w:color w:val="FF0000"/>
          <w:sz w:val="28"/>
          <w:szCs w:val="28"/>
          <w:lang w:val="en-US"/>
        </w:rPr>
        <w:t>B</w:t>
      </w:r>
      <w:r w:rsidR="00836F9D" w:rsidRPr="00192F95">
        <w:rPr>
          <w:color w:val="FF0000"/>
          <w:sz w:val="28"/>
          <w:szCs w:val="28"/>
        </w:rPr>
        <w:t>ảo đảm các chế độ, chính sách</w:t>
      </w:r>
      <w:r w:rsidR="00BE76A4" w:rsidRPr="00192F95">
        <w:rPr>
          <w:color w:val="FF0000"/>
          <w:sz w:val="28"/>
          <w:szCs w:val="28"/>
        </w:rPr>
        <w:t xml:space="preserve"> được xác định trên cơ sở số đối tượng năm 2021, số </w:t>
      </w:r>
      <w:r w:rsidR="00836F9D" w:rsidRPr="00192F95">
        <w:rPr>
          <w:color w:val="FF0000"/>
          <w:sz w:val="28"/>
          <w:szCs w:val="28"/>
        </w:rPr>
        <w:t>bố trí trong định mức</w:t>
      </w:r>
      <w:r w:rsidR="00BE76A4" w:rsidRPr="00192F95">
        <w:rPr>
          <w:color w:val="FF0000"/>
          <w:sz w:val="28"/>
          <w:szCs w:val="28"/>
        </w:rPr>
        <w:t xml:space="preserve"> của </w:t>
      </w:r>
      <w:r w:rsidR="00836F9D" w:rsidRPr="00192F95">
        <w:rPr>
          <w:color w:val="FF0000"/>
          <w:sz w:val="28"/>
          <w:szCs w:val="28"/>
        </w:rPr>
        <w:t>ngân sách Trung ương</w:t>
      </w:r>
      <w:r w:rsidR="00BE76A4" w:rsidRPr="00192F95">
        <w:rPr>
          <w:color w:val="FF0000"/>
          <w:sz w:val="28"/>
          <w:szCs w:val="28"/>
        </w:rPr>
        <w:t xml:space="preserve"> theo chế độ quy định gồm:</w:t>
      </w:r>
      <w:r w:rsidR="00836F9D" w:rsidRPr="00192F95">
        <w:rPr>
          <w:color w:val="FF0000"/>
          <w:sz w:val="28"/>
          <w:szCs w:val="28"/>
        </w:rPr>
        <w:t xml:space="preserve"> Chính sách phát triển giáo dục mầm non; hỗ trợ học bổng, chi phí học </w:t>
      </w:r>
      <w:r w:rsidR="00836F9D" w:rsidRPr="00192F95">
        <w:rPr>
          <w:color w:val="FF0000"/>
          <w:sz w:val="28"/>
          <w:szCs w:val="28"/>
        </w:rPr>
        <w:lastRenderedPageBreak/>
        <w:t>tập cho học sinh khuyết tật; hỗ trợ học sinh phổ thông trung học vùng đặc biệt khó khăn; hỗ trợ miễn giảm học phí và hỗ trợ chi phí học tập</w:t>
      </w:r>
      <w:r w:rsidR="00836F9D" w:rsidRPr="00192F95">
        <w:rPr>
          <w:color w:val="FF0000"/>
          <w:sz w:val="28"/>
          <w:szCs w:val="28"/>
          <w:lang w:val="en-US"/>
        </w:rPr>
        <w:t xml:space="preserve">; </w:t>
      </w:r>
      <w:r w:rsidR="00836F9D" w:rsidRPr="00192F95">
        <w:rPr>
          <w:color w:val="FF0000"/>
          <w:spacing w:val="-2"/>
          <w:sz w:val="28"/>
          <w:szCs w:val="28"/>
        </w:rPr>
        <w:t>học bổng cho học sinh dân tộc nội trú.</w:t>
      </w:r>
    </w:p>
    <w:p w:rsidR="00BE76A4" w:rsidRPr="00373405" w:rsidRDefault="00BE76A4" w:rsidP="00BE76A4">
      <w:pPr>
        <w:spacing w:after="120"/>
        <w:ind w:firstLine="720"/>
        <w:jc w:val="both"/>
        <w:rPr>
          <w:sz w:val="28"/>
          <w:szCs w:val="28"/>
        </w:rPr>
      </w:pPr>
      <w:r w:rsidRPr="00373405">
        <w:rPr>
          <w:sz w:val="28"/>
          <w:szCs w:val="28"/>
          <w:lang w:val="en-US"/>
        </w:rPr>
        <w:t>-</w:t>
      </w:r>
      <w:r w:rsidRPr="00373405">
        <w:rPr>
          <w:sz w:val="28"/>
          <w:szCs w:val="28"/>
        </w:rPr>
        <w:t xml:space="preserve"> Chi thực hiện các chương trình, đề án theo Nghị quyết của HĐND tỉnh</w:t>
      </w:r>
      <w:r w:rsidRPr="00373405">
        <w:rPr>
          <w:sz w:val="28"/>
          <w:szCs w:val="28"/>
          <w:lang w:val="en-US"/>
        </w:rPr>
        <w:t xml:space="preserve"> (ngoài </w:t>
      </w:r>
      <w:r w:rsidR="00373405">
        <w:rPr>
          <w:sz w:val="28"/>
          <w:szCs w:val="28"/>
          <w:lang w:val="en-US"/>
        </w:rPr>
        <w:t>kinh phí</w:t>
      </w:r>
      <w:r w:rsidRPr="00373405">
        <w:rPr>
          <w:sz w:val="28"/>
          <w:szCs w:val="28"/>
          <w:lang w:val="en-US"/>
        </w:rPr>
        <w:t xml:space="preserve"> đã bố trí trong định mức): M</w:t>
      </w:r>
      <w:r w:rsidRPr="00373405">
        <w:rPr>
          <w:sz w:val="28"/>
          <w:szCs w:val="28"/>
        </w:rPr>
        <w:t xml:space="preserve">ức cụ thể do UBND tỉnh trình HĐND tỉnh quyết định hàng năm phù hợp với khả năng </w:t>
      </w:r>
      <w:r w:rsidRPr="00373405">
        <w:rPr>
          <w:sz w:val="28"/>
          <w:szCs w:val="28"/>
          <w:lang w:val="en-US"/>
        </w:rPr>
        <w:t xml:space="preserve">cân đối </w:t>
      </w:r>
      <w:r w:rsidRPr="00373405">
        <w:rPr>
          <w:sz w:val="28"/>
          <w:szCs w:val="28"/>
        </w:rPr>
        <w:t>ngân sách.</w:t>
      </w:r>
    </w:p>
    <w:p w:rsidR="00BE76A4" w:rsidRPr="00373405" w:rsidRDefault="00BE76A4" w:rsidP="00BE76A4">
      <w:pPr>
        <w:spacing w:after="120"/>
        <w:ind w:firstLine="720"/>
        <w:jc w:val="both"/>
        <w:rPr>
          <w:sz w:val="28"/>
          <w:szCs w:val="28"/>
        </w:rPr>
      </w:pPr>
      <w:r w:rsidRPr="00373405">
        <w:rPr>
          <w:sz w:val="28"/>
          <w:szCs w:val="28"/>
        </w:rPr>
        <w:t>1.2. Định mức phân bổ chi sự nghiệp giáo dục cấp xã (bao gồm hoạt động của Trung tâm hoạt động cộng đồng và chế độ phụ cấp của cán bộ làm công tác quản lý Trung tâm học tập cộng đồng):</w:t>
      </w:r>
    </w:p>
    <w:p w:rsidR="00BE76A4" w:rsidRPr="00373405" w:rsidRDefault="00BE76A4" w:rsidP="00BE76A4">
      <w:pPr>
        <w:spacing w:after="120"/>
        <w:ind w:firstLine="720"/>
        <w:jc w:val="both"/>
        <w:rPr>
          <w:color w:val="FF0000"/>
          <w:sz w:val="28"/>
          <w:szCs w:val="28"/>
        </w:rPr>
      </w:pPr>
      <w:r w:rsidRPr="00373405">
        <w:rPr>
          <w:sz w:val="28"/>
          <w:szCs w:val="28"/>
        </w:rPr>
        <w:t xml:space="preserve">- Thành phố Đông Hà: </w:t>
      </w:r>
      <w:r w:rsidRPr="00373405">
        <w:rPr>
          <w:color w:val="FF0000"/>
          <w:sz w:val="28"/>
          <w:szCs w:val="28"/>
        </w:rPr>
        <w:t>60 triệu đồng/xã, phường/năm.</w:t>
      </w:r>
    </w:p>
    <w:p w:rsidR="00BE76A4" w:rsidRPr="00373405" w:rsidRDefault="00BE76A4" w:rsidP="00BE76A4">
      <w:pPr>
        <w:spacing w:after="120"/>
        <w:ind w:firstLine="720"/>
        <w:jc w:val="both"/>
        <w:rPr>
          <w:color w:val="FF0000"/>
          <w:sz w:val="28"/>
          <w:szCs w:val="28"/>
        </w:rPr>
      </w:pPr>
      <w:r w:rsidRPr="00373405">
        <w:rPr>
          <w:sz w:val="28"/>
          <w:szCs w:val="28"/>
        </w:rPr>
        <w:t xml:space="preserve">- Các huyện còn lại: </w:t>
      </w:r>
      <w:r w:rsidRPr="00373405">
        <w:rPr>
          <w:color w:val="FF0000"/>
          <w:sz w:val="28"/>
          <w:szCs w:val="28"/>
        </w:rPr>
        <w:t>50 triệu đồng/xã, phường, thị trấn.</w:t>
      </w:r>
    </w:p>
    <w:p w:rsidR="007F6BEB" w:rsidRPr="007F6BEB" w:rsidRDefault="007F6BEB" w:rsidP="007F6BEB">
      <w:pPr>
        <w:spacing w:after="120"/>
        <w:ind w:firstLine="720"/>
        <w:jc w:val="both"/>
        <w:rPr>
          <w:sz w:val="32"/>
          <w:szCs w:val="28"/>
        </w:rPr>
      </w:pPr>
      <w:r w:rsidRPr="00373405">
        <w:rPr>
          <w:sz w:val="28"/>
          <w:szCs w:val="28"/>
          <w:lang w:val="en-US"/>
        </w:rPr>
        <w:t xml:space="preserve">1.3. </w:t>
      </w:r>
      <w:r w:rsidRPr="00373405">
        <w:rPr>
          <w:sz w:val="28"/>
          <w:szCs w:val="28"/>
        </w:rPr>
        <w:t xml:space="preserve">Ngoài mức phân bổ chi sự nghiệp giáo dục tại cấp tỉnh, </w:t>
      </w:r>
      <w:r w:rsidRPr="00373405">
        <w:rPr>
          <w:sz w:val="28"/>
          <w:szCs w:val="28"/>
          <w:lang w:val="en-US"/>
        </w:rPr>
        <w:t xml:space="preserve">cấp </w:t>
      </w:r>
      <w:r w:rsidRPr="00373405">
        <w:rPr>
          <w:sz w:val="28"/>
          <w:szCs w:val="28"/>
        </w:rPr>
        <w:t xml:space="preserve">huyện, </w:t>
      </w:r>
      <w:r w:rsidRPr="00373405">
        <w:rPr>
          <w:sz w:val="28"/>
          <w:szCs w:val="28"/>
          <w:lang w:val="en-US"/>
        </w:rPr>
        <w:t xml:space="preserve">cấp </w:t>
      </w:r>
      <w:r w:rsidRPr="00373405">
        <w:rPr>
          <w:sz w:val="28"/>
          <w:szCs w:val="28"/>
        </w:rPr>
        <w:t>xã như</w:t>
      </w:r>
      <w:r w:rsidRPr="00373405">
        <w:rPr>
          <w:sz w:val="28"/>
          <w:szCs w:val="28"/>
          <w:lang w:val="en-US"/>
        </w:rPr>
        <w:t xml:space="preserve"> </w:t>
      </w:r>
      <w:r w:rsidRPr="00373405">
        <w:rPr>
          <w:sz w:val="28"/>
          <w:szCs w:val="28"/>
        </w:rPr>
        <w:t>trên</w:t>
      </w:r>
      <w:r w:rsidR="00E806FB">
        <w:rPr>
          <w:sz w:val="28"/>
          <w:szCs w:val="28"/>
          <w:lang w:val="en-US"/>
        </w:rPr>
        <w:t>.</w:t>
      </w:r>
      <w:r w:rsidRPr="00373405">
        <w:rPr>
          <w:sz w:val="28"/>
          <w:szCs w:val="28"/>
        </w:rPr>
        <w:t xml:space="preserve"> </w:t>
      </w:r>
      <w:r w:rsidR="00E806FB">
        <w:rPr>
          <w:sz w:val="28"/>
          <w:szCs w:val="28"/>
          <w:lang w:val="en-US"/>
        </w:rPr>
        <w:t>C</w:t>
      </w:r>
      <w:r w:rsidRPr="00373405">
        <w:rPr>
          <w:sz w:val="28"/>
          <w:szCs w:val="28"/>
          <w:lang w:val="en-US"/>
        </w:rPr>
        <w:t xml:space="preserve">ăn cứ </w:t>
      </w:r>
      <w:r w:rsidRPr="00373405">
        <w:rPr>
          <w:sz w:val="28"/>
          <w:szCs w:val="28"/>
        </w:rPr>
        <w:t xml:space="preserve">khả năng </w:t>
      </w:r>
      <w:r w:rsidRPr="00373405">
        <w:rPr>
          <w:sz w:val="28"/>
          <w:szCs w:val="28"/>
          <w:lang w:val="en-US"/>
        </w:rPr>
        <w:t xml:space="preserve">cân đối, </w:t>
      </w:r>
      <w:r w:rsidR="00D903FA">
        <w:rPr>
          <w:sz w:val="28"/>
          <w:szCs w:val="28"/>
          <w:lang w:val="en-US"/>
        </w:rPr>
        <w:t xml:space="preserve">UBND tỉnh trình HĐND tỉnh bố trí </w:t>
      </w:r>
      <w:r w:rsidRPr="00373405">
        <w:rPr>
          <w:sz w:val="28"/>
          <w:szCs w:val="28"/>
        </w:rPr>
        <w:t xml:space="preserve">ngân sách </w:t>
      </w:r>
      <w:r w:rsidRPr="00373405">
        <w:rPr>
          <w:sz w:val="28"/>
          <w:szCs w:val="28"/>
          <w:lang w:val="en-US"/>
        </w:rPr>
        <w:t xml:space="preserve">tỉnh </w:t>
      </w:r>
      <w:r w:rsidRPr="00373405">
        <w:rPr>
          <w:sz w:val="28"/>
          <w:szCs w:val="28"/>
        </w:rPr>
        <w:t>khoản kinh phí hỗ trợ thực hiện các nhiệm vụ chi sự nghiệp giáo dục</w:t>
      </w:r>
      <w:r w:rsidRPr="00373405">
        <w:rPr>
          <w:sz w:val="28"/>
          <w:szCs w:val="28"/>
          <w:lang w:val="en-US"/>
        </w:rPr>
        <w:t xml:space="preserve"> </w:t>
      </w:r>
      <w:r w:rsidRPr="00373405">
        <w:rPr>
          <w:sz w:val="28"/>
          <w:szCs w:val="28"/>
        </w:rPr>
        <w:t>phát sinh</w:t>
      </w:r>
      <w:r w:rsidR="004C5ADF">
        <w:rPr>
          <w:sz w:val="28"/>
          <w:szCs w:val="28"/>
          <w:lang w:val="en-US"/>
        </w:rPr>
        <w:t xml:space="preserve"> trên địa bàn tỉnh</w:t>
      </w:r>
      <w:r w:rsidRPr="00373405">
        <w:rPr>
          <w:sz w:val="28"/>
          <w:szCs w:val="28"/>
        </w:rPr>
        <w:t>. Trên cơ sở nhu cầu phát sinh thực tế, UBND tỉnh</w:t>
      </w:r>
      <w:r w:rsidRPr="00373405">
        <w:rPr>
          <w:sz w:val="28"/>
          <w:szCs w:val="28"/>
          <w:lang w:val="en-US"/>
        </w:rPr>
        <w:t xml:space="preserve"> </w:t>
      </w:r>
      <w:r w:rsidRPr="00373405">
        <w:rPr>
          <w:sz w:val="28"/>
          <w:szCs w:val="28"/>
        </w:rPr>
        <w:t xml:space="preserve">quyết định phân bổ cụ thể cho từng </w:t>
      </w:r>
      <w:r w:rsidRPr="00373405">
        <w:rPr>
          <w:sz w:val="28"/>
          <w:szCs w:val="28"/>
          <w:lang w:val="en-US"/>
        </w:rPr>
        <w:t>đơn vị, địa</w:t>
      </w:r>
      <w:r w:rsidRPr="007F6BEB">
        <w:rPr>
          <w:sz w:val="28"/>
          <w:lang w:val="en-US"/>
        </w:rPr>
        <w:t xml:space="preserve"> phương </w:t>
      </w:r>
      <w:r w:rsidRPr="007F6BEB">
        <w:rPr>
          <w:sz w:val="28"/>
        </w:rPr>
        <w:t>thực hiện.</w:t>
      </w:r>
      <w:r w:rsidRPr="007F6BEB">
        <w:rPr>
          <w:sz w:val="32"/>
          <w:szCs w:val="28"/>
        </w:rPr>
        <w:t xml:space="preserve"> </w:t>
      </w:r>
    </w:p>
    <w:p w:rsidR="00BE76A4" w:rsidRPr="00BF40BF" w:rsidRDefault="00BE76A4" w:rsidP="00BE76A4">
      <w:pPr>
        <w:spacing w:after="120"/>
        <w:rPr>
          <w:b/>
          <w:color w:val="FF0000"/>
          <w:sz w:val="28"/>
          <w:szCs w:val="28"/>
        </w:rPr>
      </w:pPr>
      <w:r w:rsidRPr="00BF40BF">
        <w:rPr>
          <w:b/>
          <w:color w:val="FF0000"/>
        </w:rPr>
        <w:tab/>
      </w:r>
      <w:r w:rsidRPr="00BF40BF">
        <w:rPr>
          <w:b/>
          <w:color w:val="FF0000"/>
          <w:sz w:val="28"/>
          <w:szCs w:val="28"/>
          <w:lang w:val="en-US"/>
        </w:rPr>
        <w:t xml:space="preserve">2. </w:t>
      </w:r>
      <w:r w:rsidRPr="00BF40BF">
        <w:rPr>
          <w:b/>
          <w:color w:val="FF0000"/>
          <w:sz w:val="28"/>
          <w:szCs w:val="28"/>
        </w:rPr>
        <w:t>Định mức phân bổ chi sự nghiệp đào tạo</w:t>
      </w:r>
    </w:p>
    <w:p w:rsidR="00BE76A4" w:rsidRPr="00BF40BF" w:rsidRDefault="00BE76A4" w:rsidP="00BE76A4">
      <w:pPr>
        <w:spacing w:after="120"/>
        <w:ind w:firstLine="720"/>
        <w:rPr>
          <w:color w:val="FF0000"/>
          <w:sz w:val="28"/>
          <w:szCs w:val="28"/>
        </w:rPr>
      </w:pPr>
      <w:r w:rsidRPr="00BF40BF">
        <w:rPr>
          <w:color w:val="FF0000"/>
          <w:sz w:val="28"/>
          <w:szCs w:val="28"/>
          <w:lang w:val="en-US"/>
        </w:rPr>
        <w:t>2</w:t>
      </w:r>
      <w:r w:rsidRPr="00BF40BF">
        <w:rPr>
          <w:color w:val="FF0000"/>
          <w:sz w:val="28"/>
          <w:szCs w:val="28"/>
        </w:rPr>
        <w:t>.1. Cấp tỉnh</w:t>
      </w:r>
      <w:r w:rsidRPr="00BF40BF">
        <w:rPr>
          <w:color w:val="FF0000"/>
          <w:sz w:val="28"/>
          <w:szCs w:val="28"/>
          <w:lang w:val="en-US"/>
        </w:rPr>
        <w:t>:</w:t>
      </w:r>
      <w:r w:rsidRPr="00BF40BF">
        <w:rPr>
          <w:color w:val="FF0000"/>
          <w:sz w:val="28"/>
          <w:szCs w:val="28"/>
        </w:rPr>
        <w:tab/>
      </w:r>
    </w:p>
    <w:p w:rsidR="00BE76A4" w:rsidRPr="00BF40BF" w:rsidRDefault="00BE76A4" w:rsidP="00BE76A4">
      <w:pPr>
        <w:spacing w:after="120"/>
        <w:ind w:firstLine="720"/>
        <w:jc w:val="both"/>
        <w:rPr>
          <w:sz w:val="28"/>
          <w:szCs w:val="28"/>
        </w:rPr>
      </w:pPr>
      <w:r w:rsidRPr="00BF40BF">
        <w:rPr>
          <w:sz w:val="28"/>
          <w:szCs w:val="28"/>
          <w:lang w:val="en-US"/>
        </w:rPr>
        <w:t xml:space="preserve">a) </w:t>
      </w:r>
      <w:r w:rsidRPr="006B2156">
        <w:rPr>
          <w:sz w:val="28"/>
          <w:szCs w:val="28"/>
          <w:lang w:val="eu-ES"/>
        </w:rPr>
        <w:t>Tiêu chí định mức phân bổ căn cứ vào số lượng học sinh, sinh viên hàng năm theo chỉ tiêu được cấp có thẩm quyền giao cho từng hệ đào tạo</w:t>
      </w:r>
      <w:r>
        <w:rPr>
          <w:sz w:val="28"/>
          <w:szCs w:val="28"/>
          <w:lang w:val="eu-ES"/>
        </w:rPr>
        <w:t xml:space="preserve"> </w:t>
      </w:r>
      <w:r w:rsidRPr="00BF40BF">
        <w:rPr>
          <w:sz w:val="28"/>
          <w:szCs w:val="28"/>
        </w:rPr>
        <w:t>(chỉ tiêu đào tạo do ngân sách nhà nước đảm bảo)</w:t>
      </w:r>
      <w:r>
        <w:rPr>
          <w:sz w:val="28"/>
          <w:szCs w:val="28"/>
          <w:lang w:val="en-US"/>
        </w:rPr>
        <w:t xml:space="preserve">, </w:t>
      </w:r>
      <w:r w:rsidRPr="00BF40BF">
        <w:rPr>
          <w:sz w:val="28"/>
          <w:szCs w:val="28"/>
        </w:rPr>
        <w:t>cụ thể:</w:t>
      </w:r>
    </w:p>
    <w:tbl>
      <w:tblPr>
        <w:tblW w:w="88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780"/>
        <w:gridCol w:w="4060"/>
      </w:tblGrid>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4060"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Trường Cao đẳng Sư phạm:</w:t>
            </w:r>
          </w:p>
        </w:tc>
        <w:tc>
          <w:tcPr>
            <w:tcW w:w="406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cao đẳng</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3,5 triệu đồng/sinh viên/năm</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trung cấp</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3,0 triệu đồng/sinh viên/năm</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Trường Cao đẳng Kỹ thuật:</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cao đẳng</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3,5 triệu đồng/sinh viên/năm</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trung cấp</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3,0 triệu đồng/sinh viên/năm</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Trường Cao đẳng Y tế:</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 </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cao đẳng</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3,5 triệu đồng/sinh viên/năm</w:t>
            </w:r>
          </w:p>
        </w:tc>
      </w:tr>
      <w:tr w:rsidR="00BE76A4" w:rsidRPr="00BF40BF" w:rsidTr="00754A5C">
        <w:trPr>
          <w:jc w:val="right"/>
        </w:trPr>
        <w:tc>
          <w:tcPr>
            <w:tcW w:w="478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Hệ trung cấp</w:t>
            </w:r>
          </w:p>
        </w:tc>
        <w:tc>
          <w:tcPr>
            <w:tcW w:w="4060" w:type="dxa"/>
            <w:shd w:val="clear" w:color="auto" w:fill="auto"/>
            <w:tcMar>
              <w:top w:w="0" w:type="dxa"/>
              <w:left w:w="0" w:type="dxa"/>
              <w:bottom w:w="0" w:type="dxa"/>
              <w:right w:w="0" w:type="dxa"/>
            </w:tcMar>
          </w:tcPr>
          <w:p w:rsidR="00BE76A4" w:rsidRPr="007F6BEB" w:rsidRDefault="00BE76A4" w:rsidP="007F6BEB">
            <w:pPr>
              <w:spacing w:before="20" w:after="20"/>
              <w:ind w:left="142" w:right="142"/>
              <w:jc w:val="both"/>
              <w:rPr>
                <w:color w:val="FF0000"/>
                <w:sz w:val="28"/>
                <w:lang w:val="en-US"/>
              </w:rPr>
            </w:pPr>
            <w:r w:rsidRPr="007F6BEB">
              <w:rPr>
                <w:color w:val="FF0000"/>
                <w:sz w:val="28"/>
                <w:lang w:val="en-US"/>
              </w:rPr>
              <w:t>3,0 triệu đồng/sinh viên/năm</w:t>
            </w:r>
          </w:p>
        </w:tc>
      </w:tr>
    </w:tbl>
    <w:p w:rsidR="00BE76A4" w:rsidRPr="00BF40BF" w:rsidRDefault="00BE76A4" w:rsidP="00BE76A4">
      <w:pPr>
        <w:spacing w:before="120" w:after="120"/>
        <w:ind w:firstLine="720"/>
        <w:jc w:val="both"/>
        <w:rPr>
          <w:sz w:val="28"/>
          <w:szCs w:val="28"/>
        </w:rPr>
      </w:pPr>
      <w:r w:rsidRPr="00BF40BF">
        <w:rPr>
          <w:sz w:val="28"/>
          <w:szCs w:val="28"/>
          <w:lang w:val="en-US"/>
        </w:rPr>
        <w:t xml:space="preserve">- </w:t>
      </w:r>
      <w:r w:rsidRPr="00BF40BF">
        <w:rPr>
          <w:sz w:val="28"/>
          <w:szCs w:val="28"/>
        </w:rPr>
        <w:t>Định mức trên bao gồm chi phục vụ cho dạy và học tại các trường cao đẳng, trung học chuyên nghiệp do tỉnh quản lý.</w:t>
      </w:r>
    </w:p>
    <w:p w:rsidR="00BE76A4" w:rsidRPr="00BF40BF" w:rsidRDefault="00BE76A4" w:rsidP="00BE76A4">
      <w:pPr>
        <w:spacing w:before="120" w:after="120"/>
        <w:ind w:firstLine="720"/>
        <w:jc w:val="both"/>
        <w:rPr>
          <w:sz w:val="28"/>
          <w:szCs w:val="28"/>
          <w:lang w:val="en-US"/>
        </w:rPr>
      </w:pPr>
      <w:r w:rsidRPr="00BF40BF">
        <w:rPr>
          <w:sz w:val="28"/>
          <w:szCs w:val="28"/>
        </w:rPr>
        <w:t>- Đào tạo nghề căn cứ khả năng ngân sách, nhiệm vụ được cấp có thẩm quyền giao, đề án được phê duyệt để bố trí ngân sách hàng năm</w:t>
      </w:r>
      <w:r w:rsidRPr="00BF40BF">
        <w:rPr>
          <w:sz w:val="28"/>
          <w:szCs w:val="28"/>
          <w:lang w:val="en-US"/>
        </w:rPr>
        <w:t>.</w:t>
      </w:r>
    </w:p>
    <w:p w:rsidR="00BE76A4" w:rsidRPr="007F6BEB" w:rsidRDefault="00BE76A4" w:rsidP="00BE76A4">
      <w:pPr>
        <w:spacing w:after="120"/>
        <w:ind w:firstLine="720"/>
        <w:jc w:val="both"/>
        <w:rPr>
          <w:sz w:val="28"/>
          <w:szCs w:val="28"/>
          <w:lang w:val="en-US"/>
        </w:rPr>
      </w:pPr>
      <w:r w:rsidRPr="007F6BEB">
        <w:rPr>
          <w:sz w:val="28"/>
          <w:szCs w:val="28"/>
        </w:rPr>
        <w:t>- Đào tạo, bồi dưỡng cán bộ công chức</w:t>
      </w:r>
      <w:r w:rsidRPr="007F6BEB">
        <w:rPr>
          <w:sz w:val="28"/>
          <w:szCs w:val="28"/>
          <w:lang w:val="en-US"/>
        </w:rPr>
        <w:t>:</w:t>
      </w:r>
      <w:r w:rsidRPr="007F6BEB">
        <w:rPr>
          <w:sz w:val="28"/>
          <w:szCs w:val="28"/>
        </w:rPr>
        <w:t xml:space="preserve"> </w:t>
      </w:r>
      <w:r w:rsidRPr="007F6BEB">
        <w:rPr>
          <w:sz w:val="28"/>
          <w:szCs w:val="28"/>
          <w:lang w:val="en-US"/>
        </w:rPr>
        <w:t>H</w:t>
      </w:r>
      <w:r w:rsidRPr="007F6BEB">
        <w:rPr>
          <w:sz w:val="28"/>
          <w:szCs w:val="28"/>
        </w:rPr>
        <w:t>àng năm bố trí theo khả năng của ngân sách</w:t>
      </w:r>
      <w:r w:rsidRPr="007F6BEB">
        <w:rPr>
          <w:sz w:val="28"/>
          <w:szCs w:val="28"/>
          <w:lang w:val="en-US"/>
        </w:rPr>
        <w:t>.</w:t>
      </w:r>
    </w:p>
    <w:p w:rsidR="00BE76A4" w:rsidRPr="007F6BEB" w:rsidRDefault="00BE76A4" w:rsidP="00BE76A4">
      <w:pPr>
        <w:spacing w:after="120"/>
        <w:ind w:firstLine="720"/>
        <w:jc w:val="both"/>
        <w:rPr>
          <w:sz w:val="28"/>
          <w:szCs w:val="28"/>
        </w:rPr>
      </w:pPr>
      <w:r w:rsidRPr="007F6BEB">
        <w:rPr>
          <w:sz w:val="28"/>
          <w:szCs w:val="28"/>
        </w:rPr>
        <w:lastRenderedPageBreak/>
        <w:t>- Chương trình đào tạo cán bộ khác bố trí theo từng đề án được cấp thẩm quyền phê duyệt và ngân sách Trung ương bổ sung hàng năm.</w:t>
      </w:r>
    </w:p>
    <w:p w:rsidR="0034631C" w:rsidRPr="0034631C" w:rsidRDefault="00BE76A4" w:rsidP="0034631C">
      <w:pPr>
        <w:spacing w:after="120"/>
        <w:ind w:firstLine="720"/>
        <w:jc w:val="both"/>
        <w:rPr>
          <w:color w:val="FF0000"/>
          <w:sz w:val="28"/>
          <w:szCs w:val="28"/>
        </w:rPr>
      </w:pPr>
      <w:r w:rsidRPr="0034631C">
        <w:rPr>
          <w:color w:val="FF0000"/>
          <w:sz w:val="28"/>
          <w:szCs w:val="28"/>
        </w:rPr>
        <w:t xml:space="preserve">b) </w:t>
      </w:r>
      <w:r w:rsidR="0034631C" w:rsidRPr="0034631C">
        <w:rPr>
          <w:color w:val="FF0000"/>
          <w:sz w:val="28"/>
          <w:szCs w:val="28"/>
        </w:rPr>
        <w:t>Định mức phân bổ theo tiêu chí bổ sung: B</w:t>
      </w:r>
      <w:r w:rsidR="0034631C" w:rsidRPr="00192F95">
        <w:rPr>
          <w:color w:val="FF0000"/>
          <w:sz w:val="28"/>
          <w:szCs w:val="28"/>
        </w:rPr>
        <w:t xml:space="preserve">ảo đảm các chế độ, chính sách được xác định trên cơ sở số đối tượng năm 2021, số bố trí trong định mức của ngân sách Trung ương </w:t>
      </w:r>
      <w:r w:rsidR="0034631C" w:rsidRPr="0034631C">
        <w:rPr>
          <w:color w:val="FF0000"/>
          <w:sz w:val="28"/>
          <w:szCs w:val="28"/>
        </w:rPr>
        <w:t xml:space="preserve">cho ngân sách địa phương </w:t>
      </w:r>
      <w:r w:rsidR="0034631C" w:rsidRPr="00192F95">
        <w:rPr>
          <w:color w:val="FF0000"/>
          <w:sz w:val="28"/>
          <w:szCs w:val="28"/>
        </w:rPr>
        <w:t>theo chế độ quy định</w:t>
      </w:r>
      <w:r w:rsidR="0034631C" w:rsidRPr="0034631C">
        <w:rPr>
          <w:color w:val="FF0000"/>
          <w:sz w:val="28"/>
          <w:szCs w:val="28"/>
        </w:rPr>
        <w:t>.</w:t>
      </w:r>
    </w:p>
    <w:p w:rsidR="00BE76A4" w:rsidRPr="00694BCB" w:rsidRDefault="0034631C" w:rsidP="0034631C">
      <w:pPr>
        <w:spacing w:after="120"/>
        <w:ind w:firstLine="720"/>
        <w:jc w:val="both"/>
        <w:rPr>
          <w:sz w:val="28"/>
          <w:szCs w:val="28"/>
        </w:rPr>
      </w:pPr>
      <w:r w:rsidRPr="00192F95">
        <w:rPr>
          <w:color w:val="FF0000"/>
          <w:sz w:val="28"/>
          <w:szCs w:val="28"/>
        </w:rPr>
        <w:t xml:space="preserve"> </w:t>
      </w:r>
      <w:r w:rsidR="00BE76A4" w:rsidRPr="00694BCB">
        <w:rPr>
          <w:sz w:val="28"/>
          <w:szCs w:val="28"/>
          <w:lang w:val="en-US"/>
        </w:rPr>
        <w:t>2</w:t>
      </w:r>
      <w:r w:rsidR="00BE76A4" w:rsidRPr="00694BCB">
        <w:rPr>
          <w:sz w:val="28"/>
          <w:szCs w:val="28"/>
        </w:rPr>
        <w:t>.2. Cấp huyện:</w:t>
      </w:r>
    </w:p>
    <w:p w:rsidR="00BE76A4" w:rsidRPr="00694BCB" w:rsidRDefault="00BE76A4" w:rsidP="00BE76A4">
      <w:pPr>
        <w:spacing w:after="120"/>
        <w:ind w:firstLine="720"/>
        <w:jc w:val="both"/>
        <w:rPr>
          <w:sz w:val="28"/>
          <w:szCs w:val="28"/>
          <w:lang w:val="en-US"/>
        </w:rPr>
      </w:pPr>
      <w:r w:rsidRPr="00694BCB">
        <w:rPr>
          <w:sz w:val="28"/>
          <w:szCs w:val="28"/>
        </w:rPr>
        <w:t xml:space="preserve">- Chi hoạt động bộ máy được áp dụng theo định mức quy định tại </w:t>
      </w:r>
      <w:r w:rsidRPr="00694BCB">
        <w:rPr>
          <w:sz w:val="28"/>
          <w:szCs w:val="28"/>
          <w:lang w:val="en-US"/>
        </w:rPr>
        <w:t>khoản 2 Điều 3 Quy định này.</w:t>
      </w:r>
    </w:p>
    <w:p w:rsidR="00BE76A4" w:rsidRPr="00980EFC" w:rsidRDefault="00BE76A4" w:rsidP="00BE76A4">
      <w:pPr>
        <w:spacing w:after="120"/>
        <w:ind w:firstLine="720"/>
        <w:jc w:val="both"/>
        <w:rPr>
          <w:color w:val="FF0000"/>
          <w:sz w:val="28"/>
          <w:szCs w:val="28"/>
          <w:lang w:val="en-US"/>
        </w:rPr>
      </w:pPr>
      <w:r w:rsidRPr="00980EFC">
        <w:rPr>
          <w:color w:val="FF0000"/>
          <w:sz w:val="28"/>
          <w:szCs w:val="28"/>
        </w:rPr>
        <w:t>- Chi cho đào tạo và đào tạo lại: 5</w:t>
      </w:r>
      <w:r w:rsidR="00980EFC">
        <w:rPr>
          <w:color w:val="FF0000"/>
          <w:sz w:val="28"/>
          <w:szCs w:val="28"/>
          <w:lang w:val="en-US"/>
        </w:rPr>
        <w:t>83</w:t>
      </w:r>
      <w:r w:rsidRPr="00980EFC">
        <w:rPr>
          <w:color w:val="FF0000"/>
          <w:sz w:val="28"/>
          <w:szCs w:val="28"/>
        </w:rPr>
        <w:t xml:space="preserve"> triệu đồng/huyện, thị xã, thành phố</w:t>
      </w:r>
      <w:r w:rsidRPr="00980EFC">
        <w:rPr>
          <w:color w:val="FF0000"/>
          <w:sz w:val="28"/>
          <w:szCs w:val="28"/>
          <w:lang w:val="en-US"/>
        </w:rPr>
        <w:t>.</w:t>
      </w:r>
    </w:p>
    <w:p w:rsidR="00BE76A4" w:rsidRPr="00FE3963" w:rsidRDefault="00BE76A4" w:rsidP="00BE76A4">
      <w:pPr>
        <w:spacing w:after="120"/>
        <w:ind w:firstLine="720"/>
        <w:jc w:val="both"/>
        <w:rPr>
          <w:b/>
          <w:sz w:val="28"/>
          <w:szCs w:val="28"/>
          <w:lang w:val="en-US"/>
        </w:rPr>
      </w:pPr>
      <w:r w:rsidRPr="00FE3963">
        <w:rPr>
          <w:b/>
          <w:sz w:val="28"/>
          <w:szCs w:val="28"/>
          <w:lang w:val="en-US"/>
        </w:rPr>
        <w:t>Điều 5. Phân bổ dự toán chi các đơn vị sự nghiệp công lập</w:t>
      </w:r>
    </w:p>
    <w:p w:rsidR="00BE76A4" w:rsidRPr="0077730E" w:rsidRDefault="00BE76A4" w:rsidP="00BE76A4">
      <w:pPr>
        <w:pStyle w:val="Form"/>
        <w:widowControl w:val="0"/>
        <w:tabs>
          <w:tab w:val="left" w:pos="8209"/>
        </w:tabs>
        <w:spacing w:before="60" w:after="0" w:line="240" w:lineRule="auto"/>
        <w:ind w:firstLine="709"/>
        <w:rPr>
          <w:rFonts w:ascii="Times New Roman" w:hAnsi="Times New Roman"/>
          <w:b/>
          <w:bCs/>
          <w:lang w:val="en-US"/>
        </w:rPr>
      </w:pPr>
      <w:r w:rsidRPr="0077730E">
        <w:rPr>
          <w:rFonts w:ascii="Times New Roman" w:hAnsi="Times New Roman"/>
          <w:b/>
          <w:bCs/>
          <w:lang w:val="vi-VN"/>
        </w:rPr>
        <w:t xml:space="preserve">1. </w:t>
      </w:r>
      <w:r w:rsidRPr="0077730E">
        <w:rPr>
          <w:rFonts w:ascii="Times New Roman" w:hAnsi="Times New Roman"/>
          <w:b/>
          <w:bCs/>
          <w:lang w:val="en-US"/>
        </w:rPr>
        <w:t xml:space="preserve">Nguyên tắc phân bổ </w:t>
      </w:r>
    </w:p>
    <w:p w:rsidR="00BE76A4" w:rsidRPr="00FE3963" w:rsidRDefault="00BE76A4" w:rsidP="00BE76A4">
      <w:pPr>
        <w:pStyle w:val="Form"/>
        <w:widowControl w:val="0"/>
        <w:tabs>
          <w:tab w:val="left" w:pos="8209"/>
        </w:tabs>
        <w:spacing w:before="60" w:after="0" w:line="240" w:lineRule="auto"/>
        <w:ind w:firstLine="709"/>
        <w:rPr>
          <w:rFonts w:ascii="Times New Roman" w:hAnsi="Times New Roman"/>
          <w:bCs/>
          <w:lang w:val="vi-VN"/>
        </w:rPr>
      </w:pPr>
      <w:r w:rsidRPr="00FE3963">
        <w:rPr>
          <w:rFonts w:ascii="Times New Roman" w:hAnsi="Times New Roman"/>
          <w:bCs/>
          <w:lang w:val="vi-VN"/>
        </w:rPr>
        <w:t>Thực hiện phân bổ chi thường xuyên năm 2022 cho các lĩnh vực sự nghiệp căn cứ chức năng, nhiệm vụ được giao, định hướng đổi mới khu vực sự nghiệp công lập theo Nghị quyết số 19-NQ/TW ngày 25/10/2017 của Ban Chấp hành Trung ương khóa XII, các quy định về cơ chế tự chủ tài chính của đơn vị sự nghiệp công lập và các quy định của pháp luật về việc giao nhiệm vụ, đặt hàng, đấu thầu cung cấp sản phẩm dịch vụ sự nghiệp công. Trong đó:</w:t>
      </w:r>
    </w:p>
    <w:p w:rsidR="00BE76A4" w:rsidRPr="00FE3963" w:rsidRDefault="00BE76A4" w:rsidP="00BE76A4">
      <w:pPr>
        <w:pStyle w:val="Form"/>
        <w:widowControl w:val="0"/>
        <w:tabs>
          <w:tab w:val="left" w:pos="8209"/>
        </w:tabs>
        <w:spacing w:before="60" w:after="0" w:line="240" w:lineRule="auto"/>
        <w:ind w:firstLine="709"/>
        <w:rPr>
          <w:rFonts w:ascii="Times New Roman" w:hAnsi="Times New Roman"/>
          <w:lang w:val="vi-VN"/>
        </w:rPr>
      </w:pPr>
      <w:r w:rsidRPr="00FE3963">
        <w:rPr>
          <w:rFonts w:ascii="Times New Roman" w:hAnsi="Times New Roman"/>
          <w:lang w:val="en-US"/>
        </w:rPr>
        <w:t>-</w:t>
      </w:r>
      <w:r w:rsidRPr="00FE3963">
        <w:rPr>
          <w:rFonts w:ascii="Times New Roman" w:hAnsi="Times New Roman"/>
          <w:lang w:val="vi-VN"/>
        </w:rPr>
        <w:t xml:space="preserve"> Ngân sách nhà nước giảm cấp chi thường xuyên cho các đơn vị sự nghiệp công lập đối với các khoản chi đã được kết cấu vào giá dịch vụ theo lộ trình điều chỉnh giá dịch vụ của từng lĩnh vực sự nghiệp công. Các cơ quan, đơn vị có thẩm quyền đẩy nhanh việc giao tự chủ cho các đơn vị sự nghiệp công lập, thúc đẩy việc tính giá dịch vụ sự nghiệp công theo đúng lộ trình đã đề ra.</w:t>
      </w:r>
    </w:p>
    <w:p w:rsidR="00BE76A4" w:rsidRPr="004A7808" w:rsidRDefault="00BE76A4" w:rsidP="00BE76A4">
      <w:pPr>
        <w:pStyle w:val="Form"/>
        <w:widowControl w:val="0"/>
        <w:tabs>
          <w:tab w:val="left" w:pos="8209"/>
        </w:tabs>
        <w:spacing w:before="60" w:after="0" w:line="240" w:lineRule="auto"/>
        <w:ind w:firstLine="709"/>
        <w:rPr>
          <w:rFonts w:ascii="Times New Roman" w:hAnsi="Times New Roman"/>
          <w:lang w:val="vi-VN"/>
        </w:rPr>
      </w:pPr>
      <w:r w:rsidRPr="004A7808">
        <w:rPr>
          <w:rFonts w:ascii="Times New Roman" w:hAnsi="Times New Roman"/>
          <w:lang w:val="vi-VN"/>
        </w:rPr>
        <w:t xml:space="preserve">- Đơn vị sự nghiệp công lập tự bảo đảm chi thường xuyên và chi đầu tư, đơn vị sự nghiệp công lập tự bảo đảm chi thường xuyên: Ngân sách nhà nước không hỗ trợ chi thường xuyên. </w:t>
      </w:r>
    </w:p>
    <w:p w:rsidR="00BE76A4" w:rsidRPr="004A7808" w:rsidRDefault="00BE76A4" w:rsidP="00BE76A4">
      <w:pPr>
        <w:pStyle w:val="Form"/>
        <w:widowControl w:val="0"/>
        <w:tabs>
          <w:tab w:val="left" w:pos="8209"/>
        </w:tabs>
        <w:spacing w:before="60" w:after="0" w:line="240" w:lineRule="auto"/>
        <w:ind w:firstLine="709"/>
        <w:rPr>
          <w:rFonts w:ascii="Times New Roman" w:hAnsi="Times New Roman"/>
          <w:b/>
        </w:rPr>
      </w:pPr>
      <w:r w:rsidRPr="004A7808">
        <w:rPr>
          <w:rFonts w:ascii="Times New Roman" w:hAnsi="Times New Roman"/>
          <w:b/>
          <w:lang w:val="en-US"/>
        </w:rPr>
        <w:t xml:space="preserve">2. </w:t>
      </w:r>
      <w:r w:rsidRPr="004A7808">
        <w:rPr>
          <w:rFonts w:ascii="Times New Roman" w:hAnsi="Times New Roman"/>
          <w:b/>
        </w:rPr>
        <w:t>Định mức phân bổ chi bộ máy đơn vị sự nghiệp cấp tỉnh</w:t>
      </w:r>
    </w:p>
    <w:p w:rsidR="00BE76A4" w:rsidRPr="004A7808" w:rsidRDefault="00BE76A4" w:rsidP="00BE76A4">
      <w:pPr>
        <w:pStyle w:val="Form"/>
        <w:widowControl w:val="0"/>
        <w:tabs>
          <w:tab w:val="left" w:pos="8209"/>
        </w:tabs>
        <w:spacing w:before="60" w:after="0" w:line="240" w:lineRule="auto"/>
        <w:ind w:firstLine="709"/>
        <w:rPr>
          <w:rFonts w:ascii="Times New Roman" w:hAnsi="Times New Roman"/>
          <w:lang w:val="vi-VN"/>
        </w:rPr>
      </w:pPr>
      <w:r w:rsidRPr="004A7808">
        <w:rPr>
          <w:rFonts w:ascii="Times New Roman" w:hAnsi="Times New Roman"/>
          <w:lang w:val="en-US"/>
        </w:rPr>
        <w:t xml:space="preserve">- </w:t>
      </w:r>
      <w:r w:rsidRPr="004A7808">
        <w:rPr>
          <w:rFonts w:ascii="Times New Roman" w:hAnsi="Times New Roman"/>
          <w:lang w:val="vi-VN"/>
        </w:rPr>
        <w:t xml:space="preserve">Chỉ áp dụng trong thời gian </w:t>
      </w:r>
      <w:r w:rsidRPr="004A7808">
        <w:rPr>
          <w:rFonts w:ascii="Times New Roman" w:hAnsi="Times New Roman"/>
          <w:lang w:val="en-US"/>
        </w:rPr>
        <w:t xml:space="preserve">định mức kinh tế - kỹ thuật, định mức chi phí (nếu có) chưa được cấp thẩm quyền ban hành, </w:t>
      </w:r>
      <w:r w:rsidRPr="004A7808">
        <w:rPr>
          <w:rFonts w:ascii="Times New Roman" w:hAnsi="Times New Roman"/>
          <w:lang w:val="vi-VN"/>
        </w:rPr>
        <w:t xml:space="preserve">các đơn vị sự nghiệp công chưa áp dụng cơ chế giá dịch vụ. Trên cơ sở lộ trình triển khai thực hiện Nghị định số </w:t>
      </w:r>
      <w:r w:rsidRPr="004A7808">
        <w:rPr>
          <w:rFonts w:ascii="Times New Roman" w:hAnsi="Times New Roman"/>
          <w:lang w:val="en-US"/>
        </w:rPr>
        <w:t>60/2021</w:t>
      </w:r>
      <w:r w:rsidRPr="004A7808">
        <w:rPr>
          <w:rFonts w:ascii="Times New Roman" w:hAnsi="Times New Roman"/>
          <w:lang w:val="vi-VN"/>
        </w:rPr>
        <w:t xml:space="preserve">/NĐ-CP ngày </w:t>
      </w:r>
      <w:r w:rsidRPr="004A7808">
        <w:rPr>
          <w:rFonts w:ascii="Times New Roman" w:hAnsi="Times New Roman"/>
          <w:lang w:val="en-US"/>
        </w:rPr>
        <w:t>21/6/2021</w:t>
      </w:r>
      <w:r w:rsidRPr="004A7808">
        <w:rPr>
          <w:rFonts w:ascii="Times New Roman" w:hAnsi="Times New Roman"/>
          <w:lang w:val="vi-VN"/>
        </w:rPr>
        <w:t xml:space="preserve"> của Chính phủ, giao UBND tỉnh thực hiện phân bổ chi thường xuyên các đơn vị sự nghiệp công lập khi giao quyền tự chủ và báo cáo HĐND tỉnh tại kỳ họp gần nhất.</w:t>
      </w:r>
    </w:p>
    <w:p w:rsidR="00BE76A4" w:rsidRPr="004A7808" w:rsidRDefault="00BE76A4" w:rsidP="00BE76A4">
      <w:pPr>
        <w:pStyle w:val="Form"/>
        <w:widowControl w:val="0"/>
        <w:tabs>
          <w:tab w:val="left" w:pos="8209"/>
        </w:tabs>
        <w:spacing w:before="60" w:after="0" w:line="240" w:lineRule="auto"/>
        <w:ind w:firstLine="709"/>
        <w:rPr>
          <w:rFonts w:ascii="Times New Roman" w:hAnsi="Times New Roman"/>
          <w:lang w:val="vi-VN"/>
        </w:rPr>
      </w:pPr>
      <w:r w:rsidRPr="004A7808">
        <w:rPr>
          <w:rFonts w:ascii="Times New Roman" w:hAnsi="Times New Roman"/>
          <w:lang w:val="vi-VN"/>
        </w:rPr>
        <w:t>- Các đơn vị sự nghiệp ngành y tế thuộc hệ điều trị,</w:t>
      </w:r>
      <w:r w:rsidRPr="004A7808">
        <w:rPr>
          <w:rFonts w:ascii="Times New Roman" w:hAnsi="Times New Roman"/>
          <w:lang w:val="en-US"/>
        </w:rPr>
        <w:t xml:space="preserve"> </w:t>
      </w:r>
      <w:r w:rsidRPr="004A7808">
        <w:rPr>
          <w:rFonts w:ascii="Times New Roman" w:hAnsi="Times New Roman"/>
          <w:lang w:val="vi-VN"/>
        </w:rPr>
        <w:t xml:space="preserve">y tế tuyến xã; </w:t>
      </w:r>
      <w:r w:rsidRPr="004A7808">
        <w:rPr>
          <w:rFonts w:ascii="Times New Roman" w:hAnsi="Times New Roman"/>
          <w:lang w:val="en-US"/>
        </w:rPr>
        <w:t>c</w:t>
      </w:r>
      <w:r w:rsidRPr="004A7808">
        <w:rPr>
          <w:rFonts w:ascii="Times New Roman" w:hAnsi="Times New Roman"/>
          <w:lang w:val="vi-VN"/>
        </w:rPr>
        <w:t xml:space="preserve">ác trường </w:t>
      </w:r>
      <w:r w:rsidRPr="004A7808">
        <w:rPr>
          <w:rFonts w:ascii="Times New Roman" w:hAnsi="Times New Roman"/>
          <w:lang w:val="en-US"/>
        </w:rPr>
        <w:t>c</w:t>
      </w:r>
      <w:r w:rsidRPr="004A7808">
        <w:rPr>
          <w:rFonts w:ascii="Times New Roman" w:hAnsi="Times New Roman"/>
          <w:lang w:val="vi-VN"/>
        </w:rPr>
        <w:t>ao đẳng</w:t>
      </w:r>
      <w:r w:rsidRPr="004A7808">
        <w:rPr>
          <w:rFonts w:ascii="Times New Roman" w:hAnsi="Times New Roman"/>
          <w:lang w:val="en-US"/>
        </w:rPr>
        <w:t xml:space="preserve"> và</w:t>
      </w:r>
      <w:r w:rsidRPr="004A7808">
        <w:rPr>
          <w:rFonts w:ascii="Times New Roman" w:hAnsi="Times New Roman"/>
          <w:lang w:val="vi-VN"/>
        </w:rPr>
        <w:t xml:space="preserve"> </w:t>
      </w:r>
      <w:r w:rsidRPr="004A7808">
        <w:rPr>
          <w:rFonts w:ascii="Times New Roman" w:hAnsi="Times New Roman"/>
          <w:lang w:val="en-US"/>
        </w:rPr>
        <w:t>t</w:t>
      </w:r>
      <w:r w:rsidRPr="004A7808">
        <w:rPr>
          <w:rFonts w:ascii="Times New Roman" w:hAnsi="Times New Roman"/>
          <w:lang w:val="vi-VN"/>
        </w:rPr>
        <w:t xml:space="preserve">rung cấp không áp dụng định mức phân bổ chi bộ máy như quy định </w:t>
      </w:r>
      <w:r w:rsidR="004A7808">
        <w:rPr>
          <w:rFonts w:ascii="Times New Roman" w:hAnsi="Times New Roman"/>
          <w:lang w:val="en-US"/>
        </w:rPr>
        <w:t>tại khoản 2 Điều 5 này</w:t>
      </w:r>
      <w:r w:rsidRPr="004A7808">
        <w:rPr>
          <w:rFonts w:ascii="Times New Roman" w:hAnsi="Times New Roman"/>
          <w:lang w:val="vi-VN"/>
        </w:rPr>
        <w:t>.</w:t>
      </w:r>
    </w:p>
    <w:p w:rsidR="00BE76A4" w:rsidRPr="004A7808" w:rsidRDefault="00BE76A4" w:rsidP="00BE76A4">
      <w:pPr>
        <w:pStyle w:val="Form"/>
        <w:widowControl w:val="0"/>
        <w:tabs>
          <w:tab w:val="left" w:pos="8209"/>
        </w:tabs>
        <w:spacing w:before="60" w:after="120" w:line="240" w:lineRule="auto"/>
        <w:ind w:firstLine="709"/>
        <w:rPr>
          <w:rFonts w:ascii="Times New Roman" w:hAnsi="Times New Roman"/>
        </w:rPr>
      </w:pPr>
      <w:r w:rsidRPr="004A7808">
        <w:rPr>
          <w:rFonts w:ascii="Times New Roman" w:hAnsi="Times New Roman"/>
        </w:rPr>
        <w:t>- Định mức phân bổ chi bộ máy đơn vị sự nghiệp cấp tỉnh:</w:t>
      </w:r>
    </w:p>
    <w:tbl>
      <w:tblPr>
        <w:tblW w:w="8964"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972"/>
        <w:gridCol w:w="3992"/>
      </w:tblGrid>
      <w:tr w:rsidR="00BE76A4" w:rsidRPr="00BF40BF" w:rsidTr="007F6BEB">
        <w:trPr>
          <w:jc w:val="center"/>
        </w:trPr>
        <w:tc>
          <w:tcPr>
            <w:tcW w:w="497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jc w:val="center"/>
              <w:rPr>
                <w:color w:val="FF0000"/>
                <w:sz w:val="28"/>
                <w:szCs w:val="28"/>
              </w:rPr>
            </w:pPr>
            <w:r w:rsidRPr="00BF40BF">
              <w:rPr>
                <w:b/>
                <w:bCs/>
                <w:color w:val="FF0000"/>
                <w:sz w:val="28"/>
                <w:szCs w:val="28"/>
              </w:rPr>
              <w:t>Chỉ tiêu</w:t>
            </w:r>
          </w:p>
        </w:tc>
        <w:tc>
          <w:tcPr>
            <w:tcW w:w="399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jc w:val="center"/>
              <w:rPr>
                <w:color w:val="FF0000"/>
                <w:sz w:val="28"/>
                <w:szCs w:val="28"/>
              </w:rPr>
            </w:pPr>
            <w:r w:rsidRPr="00BF40BF">
              <w:rPr>
                <w:b/>
                <w:color w:val="FF0000"/>
                <w:sz w:val="28"/>
                <w:szCs w:val="28"/>
                <w:lang w:val="en-US"/>
              </w:rPr>
              <w:t>Định mức phân bổ</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49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t>- Dưới 10 biên chế</w:t>
            </w:r>
          </w:p>
        </w:tc>
        <w:tc>
          <w:tcPr>
            <w:tcW w:w="3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BE76A4" w:rsidP="00980EFC">
            <w:pPr>
              <w:spacing w:before="20" w:after="20"/>
              <w:ind w:left="142" w:right="142"/>
              <w:jc w:val="both"/>
              <w:rPr>
                <w:color w:val="FF0000"/>
                <w:sz w:val="28"/>
                <w:lang w:val="en-US"/>
              </w:rPr>
            </w:pPr>
            <w:r w:rsidRPr="004A7808">
              <w:rPr>
                <w:color w:val="FF0000"/>
                <w:sz w:val="28"/>
                <w:lang w:val="en-US"/>
              </w:rPr>
              <w:t>1</w:t>
            </w:r>
            <w:r w:rsidR="00980EFC">
              <w:rPr>
                <w:color w:val="FF0000"/>
                <w:sz w:val="28"/>
                <w:lang w:val="en-US"/>
              </w:rPr>
              <w:t>6,8</w:t>
            </w:r>
            <w:r w:rsidRPr="004A7808">
              <w:rPr>
                <w:color w:val="FF0000"/>
                <w:sz w:val="28"/>
                <w:lang w:val="en-US"/>
              </w:rPr>
              <w:t xml:space="preserve"> triệu đồng/biên chế/năm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49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t>- Từ 10 đến dưới 20 biên chế</w:t>
            </w:r>
          </w:p>
        </w:tc>
        <w:tc>
          <w:tcPr>
            <w:tcW w:w="3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980EFC" w:rsidP="007F6BEB">
            <w:pPr>
              <w:spacing w:before="20" w:after="20"/>
              <w:ind w:left="142" w:right="142"/>
              <w:jc w:val="both"/>
              <w:rPr>
                <w:color w:val="FF0000"/>
                <w:sz w:val="28"/>
                <w:lang w:val="en-US"/>
              </w:rPr>
            </w:pPr>
            <w:r>
              <w:rPr>
                <w:color w:val="FF0000"/>
                <w:sz w:val="28"/>
                <w:lang w:val="en-US"/>
              </w:rPr>
              <w:t>16,1</w:t>
            </w:r>
            <w:r w:rsidR="00BE76A4" w:rsidRPr="004A7808">
              <w:rPr>
                <w:color w:val="FF0000"/>
                <w:sz w:val="28"/>
                <w:lang w:val="en-US"/>
              </w:rPr>
              <w:t xml:space="preserve"> triệu đồng/biên chế/năm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497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lastRenderedPageBreak/>
              <w:t>- Từ 20 đến dưới 30 biên chế</w:t>
            </w:r>
          </w:p>
        </w:tc>
        <w:tc>
          <w:tcPr>
            <w:tcW w:w="3992" w:type="dxa"/>
            <w:tcBorders>
              <w:top w:val="single" w:sz="8" w:space="0" w:color="000000"/>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980EFC" w:rsidP="007F6BEB">
            <w:pPr>
              <w:spacing w:before="20" w:after="20"/>
              <w:ind w:left="142" w:right="142"/>
              <w:jc w:val="both"/>
              <w:rPr>
                <w:color w:val="FF0000"/>
                <w:sz w:val="28"/>
                <w:lang w:val="en-US"/>
              </w:rPr>
            </w:pPr>
            <w:r>
              <w:rPr>
                <w:color w:val="FF0000"/>
                <w:sz w:val="28"/>
                <w:lang w:val="en-US"/>
              </w:rPr>
              <w:t>15,4</w:t>
            </w:r>
            <w:r w:rsidR="00BE76A4" w:rsidRPr="004A7808">
              <w:rPr>
                <w:color w:val="FF0000"/>
                <w:sz w:val="28"/>
                <w:lang w:val="en-US"/>
              </w:rPr>
              <w:t xml:space="preserve"> triệu đồng/biên chế/năm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4972"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t>- Từ 30 biên chế</w:t>
            </w:r>
          </w:p>
        </w:tc>
        <w:tc>
          <w:tcPr>
            <w:tcW w:w="3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980EFC" w:rsidP="007F6BEB">
            <w:pPr>
              <w:spacing w:before="20" w:after="20"/>
              <w:ind w:left="142" w:right="142"/>
              <w:jc w:val="both"/>
              <w:rPr>
                <w:color w:val="FF0000"/>
                <w:sz w:val="28"/>
                <w:lang w:val="en-US"/>
              </w:rPr>
            </w:pPr>
            <w:r>
              <w:rPr>
                <w:color w:val="FF0000"/>
                <w:sz w:val="28"/>
                <w:lang w:val="en-US"/>
              </w:rPr>
              <w:t>14,9</w:t>
            </w:r>
            <w:r w:rsidR="00BE76A4" w:rsidRPr="004A7808">
              <w:rPr>
                <w:color w:val="FF0000"/>
                <w:sz w:val="28"/>
                <w:lang w:val="en-US"/>
              </w:rPr>
              <w:t xml:space="preserve"> triệu đồng/biên chế/năm</w:t>
            </w:r>
          </w:p>
        </w:tc>
      </w:tr>
    </w:tbl>
    <w:p w:rsidR="00BE76A4" w:rsidRPr="004A7808" w:rsidRDefault="00BE76A4" w:rsidP="00BE76A4">
      <w:pPr>
        <w:pStyle w:val="Form"/>
        <w:widowControl w:val="0"/>
        <w:tabs>
          <w:tab w:val="left" w:pos="8209"/>
        </w:tabs>
        <w:spacing w:before="100" w:beforeAutospacing="1" w:after="120" w:line="240" w:lineRule="auto"/>
        <w:ind w:firstLine="709"/>
        <w:rPr>
          <w:rFonts w:ascii="Times New Roman" w:hAnsi="Times New Roman"/>
          <w:b/>
        </w:rPr>
      </w:pPr>
      <w:r w:rsidRPr="004A7808">
        <w:rPr>
          <w:rFonts w:ascii="Times New Roman" w:hAnsi="Times New Roman"/>
          <w:b/>
        </w:rPr>
        <w:t>3. Định mức phân bổ chi sự nghiệp y tế, văn hóa thông tin, phát thanh truyền hình, thể dục thể thao</w:t>
      </w:r>
    </w:p>
    <w:p w:rsidR="00BE76A4" w:rsidRPr="00541399" w:rsidRDefault="00BE76A4" w:rsidP="00BE76A4">
      <w:pPr>
        <w:spacing w:after="120"/>
        <w:ind w:firstLine="709"/>
        <w:rPr>
          <w:b/>
          <w:sz w:val="28"/>
          <w:szCs w:val="28"/>
        </w:rPr>
      </w:pPr>
      <w:r w:rsidRPr="00541399">
        <w:rPr>
          <w:b/>
          <w:sz w:val="28"/>
          <w:szCs w:val="28"/>
          <w:lang w:val="en-US"/>
        </w:rPr>
        <w:t>3</w:t>
      </w:r>
      <w:r w:rsidRPr="00541399">
        <w:rPr>
          <w:b/>
          <w:sz w:val="28"/>
          <w:szCs w:val="28"/>
        </w:rPr>
        <w:t>.1. Cấp tỉnh:</w:t>
      </w:r>
    </w:p>
    <w:p w:rsidR="00BE76A4" w:rsidRPr="004A7808" w:rsidRDefault="00BE76A4" w:rsidP="00BE76A4">
      <w:pPr>
        <w:spacing w:after="120"/>
        <w:ind w:firstLine="709"/>
        <w:rPr>
          <w:sz w:val="28"/>
          <w:szCs w:val="28"/>
        </w:rPr>
      </w:pPr>
      <w:r w:rsidRPr="004A7808">
        <w:rPr>
          <w:sz w:val="28"/>
          <w:szCs w:val="28"/>
          <w:lang w:val="en-US"/>
        </w:rPr>
        <w:t>3</w:t>
      </w:r>
      <w:r w:rsidRPr="004A7808">
        <w:rPr>
          <w:sz w:val="28"/>
          <w:szCs w:val="28"/>
        </w:rPr>
        <w:t>.1.1. Sự nghiệp y tế:</w:t>
      </w:r>
    </w:p>
    <w:p w:rsidR="00BE76A4" w:rsidRPr="004A7808" w:rsidRDefault="00BE76A4" w:rsidP="00BE76A4">
      <w:pPr>
        <w:pStyle w:val="Form"/>
        <w:widowControl w:val="0"/>
        <w:tabs>
          <w:tab w:val="left" w:pos="8209"/>
        </w:tabs>
        <w:spacing w:before="0" w:after="120" w:line="240" w:lineRule="auto"/>
        <w:ind w:firstLine="709"/>
        <w:rPr>
          <w:rFonts w:ascii="Times New Roman" w:hAnsi="Times New Roman"/>
          <w:lang w:val="en-US"/>
        </w:rPr>
      </w:pPr>
      <w:r w:rsidRPr="004A7808">
        <w:rPr>
          <w:rFonts w:ascii="Times New Roman" w:hAnsi="Times New Roman"/>
          <w:lang w:val="vi-VN"/>
        </w:rPr>
        <w:t xml:space="preserve">a) Định mức phân bổ chi bộ máy đơn vị sự nghiệp y tế </w:t>
      </w:r>
      <w:r w:rsidRPr="004A7808">
        <w:rPr>
          <w:rFonts w:ascii="Times New Roman" w:hAnsi="Times New Roman"/>
          <w:color w:val="FF0000"/>
          <w:lang w:val="vi-VN"/>
        </w:rPr>
        <w:t>hệ dự phòng, hệ dân số cấp huyện</w:t>
      </w:r>
      <w:r w:rsidRPr="004A7808">
        <w:rPr>
          <w:rFonts w:ascii="Times New Roman" w:hAnsi="Times New Roman"/>
          <w:lang w:val="vi-VN"/>
        </w:rPr>
        <w:t xml:space="preserve"> </w:t>
      </w:r>
      <w:r w:rsidRPr="004A7808">
        <w:rPr>
          <w:rFonts w:ascii="Times New Roman" w:hAnsi="Times New Roman"/>
          <w:lang w:val="en-US"/>
        </w:rPr>
        <w:t>đ</w:t>
      </w:r>
      <w:r w:rsidRPr="004A7808">
        <w:rPr>
          <w:rFonts w:ascii="Times New Roman" w:hAnsi="Times New Roman"/>
          <w:lang w:val="vi-VN"/>
        </w:rPr>
        <w:t xml:space="preserve">ược áp dụng theo định mức phân bổ tại khoản </w:t>
      </w:r>
      <w:r w:rsidRPr="004A7808">
        <w:rPr>
          <w:rFonts w:ascii="Times New Roman" w:hAnsi="Times New Roman"/>
          <w:lang w:val="en-US"/>
        </w:rPr>
        <w:t>2</w:t>
      </w:r>
      <w:r w:rsidRPr="004A7808">
        <w:rPr>
          <w:rFonts w:ascii="Times New Roman" w:hAnsi="Times New Roman"/>
          <w:lang w:val="vi-VN"/>
        </w:rPr>
        <w:t xml:space="preserve"> Điều 5 </w:t>
      </w:r>
      <w:r w:rsidRPr="004A7808">
        <w:rPr>
          <w:rFonts w:ascii="Times New Roman" w:hAnsi="Times New Roman"/>
          <w:lang w:val="en-US"/>
        </w:rPr>
        <w:t>Q</w:t>
      </w:r>
      <w:r w:rsidRPr="004A7808">
        <w:rPr>
          <w:rFonts w:ascii="Times New Roman" w:hAnsi="Times New Roman"/>
          <w:lang w:val="vi-VN"/>
        </w:rPr>
        <w:t>uy định này và thực hiện theo quy định hiện hành của Nhà nước về chế độ tự chủ, tự chịu trách nhiệm về tài chính đối với đơn vị sự nghiệp công lập trên nguyên tắc xác định tổng dự toán thu, chi của đơn vị theo chế độ</w:t>
      </w:r>
      <w:r w:rsidRPr="004A7808">
        <w:rPr>
          <w:rFonts w:ascii="Times New Roman" w:hAnsi="Times New Roman"/>
          <w:lang w:val="en-US"/>
        </w:rPr>
        <w:t>.</w:t>
      </w:r>
    </w:p>
    <w:p w:rsidR="00BE76A4" w:rsidRPr="004A7808" w:rsidRDefault="00BE76A4" w:rsidP="00BE76A4">
      <w:pPr>
        <w:pStyle w:val="Form"/>
        <w:widowControl w:val="0"/>
        <w:tabs>
          <w:tab w:val="left" w:pos="8209"/>
        </w:tabs>
        <w:spacing w:before="0" w:after="120" w:line="240" w:lineRule="auto"/>
        <w:ind w:firstLine="709"/>
        <w:rPr>
          <w:rFonts w:ascii="Times New Roman" w:hAnsi="Times New Roman"/>
          <w:lang w:val="en-US"/>
        </w:rPr>
      </w:pPr>
      <w:r w:rsidRPr="004A7808">
        <w:rPr>
          <w:rFonts w:ascii="Times New Roman" w:hAnsi="Times New Roman"/>
          <w:lang w:val="vi-VN"/>
        </w:rPr>
        <w:t xml:space="preserve">b) </w:t>
      </w:r>
      <w:r w:rsidRPr="004A7808">
        <w:rPr>
          <w:rFonts w:ascii="Times New Roman" w:hAnsi="Times New Roman"/>
          <w:lang w:val="en-US"/>
        </w:rPr>
        <w:t xml:space="preserve">Hỗ trợ </w:t>
      </w:r>
      <w:r w:rsidRPr="004A7808">
        <w:rPr>
          <w:rFonts w:ascii="Times New Roman" w:hAnsi="Times New Roman"/>
          <w:lang w:val="vi-VN"/>
        </w:rPr>
        <w:t>chi hoạt động thường xuyên</w:t>
      </w:r>
      <w:r w:rsidRPr="004A7808">
        <w:rPr>
          <w:rFonts w:ascii="Times New Roman" w:hAnsi="Times New Roman"/>
          <w:lang w:val="en-US"/>
        </w:rPr>
        <w:t>:</w:t>
      </w:r>
    </w:p>
    <w:tbl>
      <w:tblPr>
        <w:tblW w:w="9183" w:type="dxa"/>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191"/>
        <w:gridCol w:w="3992"/>
      </w:tblGrid>
      <w:tr w:rsidR="00BE76A4" w:rsidRPr="004A7808" w:rsidTr="007F6BEB">
        <w:trPr>
          <w:jc w:val="center"/>
        </w:trPr>
        <w:tc>
          <w:tcPr>
            <w:tcW w:w="519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BE76A4" w:rsidP="007F6BEB">
            <w:pPr>
              <w:spacing w:before="20" w:after="20"/>
              <w:jc w:val="center"/>
              <w:rPr>
                <w:sz w:val="28"/>
                <w:szCs w:val="28"/>
              </w:rPr>
            </w:pPr>
            <w:r w:rsidRPr="004A7808">
              <w:rPr>
                <w:sz w:val="28"/>
                <w:szCs w:val="28"/>
              </w:rPr>
              <w:t xml:space="preserve"> </w:t>
            </w:r>
            <w:r w:rsidRPr="004A7808">
              <w:rPr>
                <w:b/>
                <w:bCs/>
                <w:sz w:val="28"/>
                <w:szCs w:val="28"/>
              </w:rPr>
              <w:t>Chỉ tiêu</w:t>
            </w:r>
          </w:p>
        </w:tc>
        <w:tc>
          <w:tcPr>
            <w:tcW w:w="399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BE76A4" w:rsidP="007F6BEB">
            <w:pPr>
              <w:spacing w:before="20" w:after="20"/>
              <w:jc w:val="center"/>
              <w:rPr>
                <w:sz w:val="28"/>
                <w:szCs w:val="28"/>
              </w:rPr>
            </w:pPr>
            <w:r w:rsidRPr="004A7808">
              <w:rPr>
                <w:b/>
                <w:sz w:val="28"/>
                <w:szCs w:val="28"/>
                <w:lang w:val="en-US"/>
              </w:rPr>
              <w:t>Định mức phân bổ</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519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t>- Trung tâm Quân dân y huyện đảo Cồn Cỏ</w:t>
            </w:r>
          </w:p>
        </w:tc>
        <w:tc>
          <w:tcPr>
            <w:tcW w:w="3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BE76A4" w:rsidP="00355CD9">
            <w:pPr>
              <w:spacing w:before="20" w:after="20"/>
              <w:ind w:left="142" w:right="142"/>
              <w:jc w:val="both"/>
              <w:rPr>
                <w:color w:val="FF0000"/>
                <w:sz w:val="28"/>
                <w:lang w:val="en-US"/>
              </w:rPr>
            </w:pPr>
            <w:r w:rsidRPr="004A7808">
              <w:rPr>
                <w:color w:val="FF0000"/>
                <w:sz w:val="28"/>
                <w:lang w:val="en-US"/>
              </w:rPr>
              <w:t>1</w:t>
            </w:r>
            <w:r w:rsidR="00355CD9">
              <w:rPr>
                <w:color w:val="FF0000"/>
                <w:sz w:val="28"/>
                <w:lang w:val="en-US"/>
              </w:rPr>
              <w:t>3</w:t>
            </w:r>
            <w:r w:rsidRPr="004A7808">
              <w:rPr>
                <w:color w:val="FF0000"/>
                <w:sz w:val="28"/>
                <w:lang w:val="en-US"/>
              </w:rPr>
              <w:t xml:space="preserve"> triệu đồng/giường bệnh/năm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rPr>
          <w:jc w:val="center"/>
        </w:trPr>
        <w:tc>
          <w:tcPr>
            <w:tcW w:w="519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BF40BF" w:rsidRDefault="00BE76A4" w:rsidP="007F6BEB">
            <w:pPr>
              <w:spacing w:before="20" w:after="20"/>
              <w:ind w:left="142" w:right="142"/>
              <w:jc w:val="both"/>
              <w:rPr>
                <w:sz w:val="28"/>
                <w:lang w:val="en-US"/>
              </w:rPr>
            </w:pPr>
            <w:r w:rsidRPr="00BF40BF">
              <w:rPr>
                <w:sz w:val="28"/>
                <w:lang w:val="en-US"/>
              </w:rPr>
              <w:t>- Y tế tuyến xã</w:t>
            </w:r>
          </w:p>
        </w:tc>
        <w:tc>
          <w:tcPr>
            <w:tcW w:w="3992"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BE76A4" w:rsidRPr="004A7808" w:rsidRDefault="00BE76A4" w:rsidP="00355CD9">
            <w:pPr>
              <w:spacing w:before="20" w:after="20"/>
              <w:ind w:left="142" w:right="142"/>
              <w:jc w:val="both"/>
              <w:rPr>
                <w:color w:val="FF0000"/>
                <w:sz w:val="28"/>
                <w:lang w:val="en-US"/>
              </w:rPr>
            </w:pPr>
            <w:r w:rsidRPr="004A7808">
              <w:rPr>
                <w:color w:val="FF0000"/>
                <w:sz w:val="28"/>
                <w:lang w:val="en-US"/>
              </w:rPr>
              <w:t>3</w:t>
            </w:r>
            <w:r w:rsidR="00355CD9">
              <w:rPr>
                <w:color w:val="FF0000"/>
                <w:sz w:val="28"/>
                <w:lang w:val="en-US"/>
              </w:rPr>
              <w:t>9</w:t>
            </w:r>
            <w:r w:rsidRPr="004A7808">
              <w:rPr>
                <w:color w:val="FF0000"/>
                <w:sz w:val="28"/>
                <w:lang w:val="en-US"/>
              </w:rPr>
              <w:t xml:space="preserve"> triệu đồng/trạm y tế/năm</w:t>
            </w:r>
          </w:p>
        </w:tc>
      </w:tr>
    </w:tbl>
    <w:p w:rsidR="007C1E51" w:rsidRDefault="00BE76A4" w:rsidP="007C1E51">
      <w:pPr>
        <w:spacing w:before="100" w:beforeAutospacing="1" w:after="120"/>
        <w:ind w:firstLine="720"/>
        <w:jc w:val="both"/>
        <w:rPr>
          <w:sz w:val="28"/>
          <w:szCs w:val="28"/>
        </w:rPr>
      </w:pPr>
      <w:r w:rsidRPr="007C1E51">
        <w:rPr>
          <w:sz w:val="28"/>
          <w:szCs w:val="28"/>
          <w:lang w:val="en-US"/>
        </w:rPr>
        <w:t>c)</w:t>
      </w:r>
      <w:r w:rsidR="00192F95" w:rsidRPr="007C1E51">
        <w:rPr>
          <w:sz w:val="28"/>
          <w:szCs w:val="28"/>
          <w:lang w:val="en-US"/>
        </w:rPr>
        <w:t xml:space="preserve"> </w:t>
      </w:r>
      <w:r w:rsidR="007C1E51" w:rsidRPr="007C1E51">
        <w:rPr>
          <w:sz w:val="28"/>
          <w:szCs w:val="28"/>
        </w:rPr>
        <w:t>Kinh phí mua thẻ BHYT cho các đối tượng theo quy định của Luật Bảo</w:t>
      </w:r>
      <w:r w:rsidR="007C1E51" w:rsidRPr="007C1E51">
        <w:rPr>
          <w:sz w:val="28"/>
          <w:szCs w:val="28"/>
        </w:rPr>
        <w:br/>
        <w:t xml:space="preserve">hiểm y tế và theo quy định phân cấp quản lý ngân sách. </w:t>
      </w:r>
    </w:p>
    <w:p w:rsidR="007C1E51" w:rsidRPr="007C1E51" w:rsidRDefault="007C1E51" w:rsidP="007C1E51">
      <w:pPr>
        <w:pStyle w:val="Form"/>
        <w:widowControl w:val="0"/>
        <w:tabs>
          <w:tab w:val="left" w:pos="8209"/>
        </w:tabs>
        <w:spacing w:before="0" w:after="120" w:line="240" w:lineRule="auto"/>
        <w:ind w:firstLine="709"/>
        <w:rPr>
          <w:rFonts w:ascii="Times New Roman" w:hAnsi="Times New Roman"/>
          <w:lang w:val="vi-VN"/>
        </w:rPr>
      </w:pPr>
      <w:r w:rsidRPr="007C1E51">
        <w:rPr>
          <w:rFonts w:ascii="Times New Roman" w:hAnsi="Times New Roman"/>
          <w:lang w:val="vi-VN"/>
        </w:rPr>
        <w:t>d) Chi thực hiện các chương trình, đề án theo Nghị quyết của HĐND tỉnh (ngoài kinh phí đã bố trí trong định mức); chi cho các hoạt động nghiệp vụ đặc thù: Mức cụ thể do UBND tỉnh trình HĐND tỉnh quyết định hàng năm phù hợp với khả năng cân đối ngân sách.</w:t>
      </w:r>
    </w:p>
    <w:p w:rsidR="00BE76A4" w:rsidRPr="00AE5C02" w:rsidRDefault="00BE76A4" w:rsidP="00BE76A4">
      <w:pPr>
        <w:pStyle w:val="Form"/>
        <w:widowControl w:val="0"/>
        <w:tabs>
          <w:tab w:val="left" w:pos="8209"/>
        </w:tabs>
        <w:spacing w:before="0" w:after="120" w:line="240" w:lineRule="auto"/>
        <w:ind w:firstLine="709"/>
        <w:rPr>
          <w:rFonts w:ascii="Times New Roman" w:hAnsi="Times New Roman"/>
          <w:lang w:val="vi-VN"/>
        </w:rPr>
      </w:pPr>
      <w:r w:rsidRPr="00AE5C02">
        <w:rPr>
          <w:rFonts w:ascii="Times New Roman" w:hAnsi="Times New Roman"/>
          <w:lang w:val="vi-VN"/>
        </w:rPr>
        <w:t>3.1.2. Chi bộ máy của các đơn vị sự nghiệp còn lại (văn hóa thông tin</w:t>
      </w:r>
      <w:r w:rsidRPr="00AE5C02">
        <w:rPr>
          <w:rFonts w:ascii="Times New Roman" w:hAnsi="Times New Roman"/>
        </w:rPr>
        <w:t>, phát thanh truyền hình, thể dục thể thao)</w:t>
      </w:r>
      <w:r w:rsidRPr="00AE5C02">
        <w:rPr>
          <w:rFonts w:ascii="Times New Roman" w:hAnsi="Times New Roman"/>
          <w:lang w:val="vi-VN"/>
        </w:rPr>
        <w:t xml:space="preserve">: </w:t>
      </w:r>
    </w:p>
    <w:p w:rsidR="00BE76A4" w:rsidRPr="00AE5C02" w:rsidRDefault="00BE76A4" w:rsidP="00BE76A4">
      <w:pPr>
        <w:pStyle w:val="Form"/>
        <w:widowControl w:val="0"/>
        <w:tabs>
          <w:tab w:val="left" w:pos="8209"/>
        </w:tabs>
        <w:spacing w:before="0" w:after="120" w:line="240" w:lineRule="auto"/>
        <w:ind w:firstLine="709"/>
        <w:rPr>
          <w:rFonts w:ascii="Times New Roman" w:hAnsi="Times New Roman"/>
          <w:lang w:val="vi-VN"/>
        </w:rPr>
      </w:pPr>
      <w:r w:rsidRPr="00AE5C02">
        <w:rPr>
          <w:rFonts w:ascii="Times New Roman" w:hAnsi="Times New Roman"/>
          <w:lang w:val="vi-VN"/>
        </w:rPr>
        <w:t xml:space="preserve">Được áp dụng theo định mức phân </w:t>
      </w:r>
      <w:r w:rsidRPr="00EA1F45">
        <w:rPr>
          <w:rFonts w:ascii="Times New Roman" w:hAnsi="Times New Roman"/>
          <w:color w:val="FF0000"/>
          <w:lang w:val="vi-VN"/>
        </w:rPr>
        <w:t xml:space="preserve">bổ tại khoản 2 Điều 5 Quy định này </w:t>
      </w:r>
      <w:r w:rsidRPr="00AE5C02">
        <w:rPr>
          <w:rFonts w:ascii="Times New Roman" w:hAnsi="Times New Roman"/>
          <w:lang w:val="vi-VN"/>
        </w:rPr>
        <w:t>và thực hiện theo quy định hiện hành của Nhà nước về chế độ tự chủ, tự chịu trách nhiệm về tài chính đối với đơn vị sự nghiệp công lập trên nguyên tắc xác định tổng dự toán thu, chi của đơn vị theo chế độ.</w:t>
      </w:r>
    </w:p>
    <w:p w:rsidR="00BE76A4" w:rsidRPr="00AE5C02" w:rsidRDefault="00BE76A4" w:rsidP="00BE76A4">
      <w:pPr>
        <w:pStyle w:val="Form"/>
        <w:widowControl w:val="0"/>
        <w:tabs>
          <w:tab w:val="left" w:pos="8209"/>
        </w:tabs>
        <w:spacing w:before="60" w:after="0" w:line="240" w:lineRule="auto"/>
        <w:ind w:firstLine="709"/>
        <w:rPr>
          <w:rFonts w:ascii="Times New Roman" w:hAnsi="Times New Roman"/>
          <w:lang w:val="vi-VN"/>
        </w:rPr>
      </w:pPr>
      <w:r w:rsidRPr="00AE5C02">
        <w:rPr>
          <w:rFonts w:ascii="Times New Roman" w:hAnsi="Times New Roman"/>
          <w:lang w:val="en-US"/>
        </w:rPr>
        <w:t xml:space="preserve">3.2.3. </w:t>
      </w:r>
      <w:r w:rsidRPr="00AE5C02">
        <w:rPr>
          <w:rFonts w:ascii="Times New Roman" w:hAnsi="Times New Roman"/>
          <w:lang w:val="vi-VN"/>
        </w:rPr>
        <w:t>Chi thực hiện chế độ đối với huấn luận viên, vận động viên trên cơ sở chính sách chế độ hiện hành và khả năng ngân sách.</w:t>
      </w:r>
    </w:p>
    <w:p w:rsidR="00BE76A4" w:rsidRPr="00303029" w:rsidRDefault="00BE76A4" w:rsidP="00BE76A4">
      <w:pPr>
        <w:pStyle w:val="Form"/>
        <w:widowControl w:val="0"/>
        <w:tabs>
          <w:tab w:val="left" w:pos="8209"/>
        </w:tabs>
        <w:spacing w:before="60" w:after="0" w:line="240" w:lineRule="auto"/>
        <w:ind w:firstLine="709"/>
        <w:rPr>
          <w:rFonts w:ascii="Times New Roman" w:hAnsi="Times New Roman"/>
          <w:lang w:val="en-US"/>
        </w:rPr>
      </w:pPr>
      <w:r w:rsidRPr="00303029">
        <w:rPr>
          <w:rFonts w:ascii="Times New Roman" w:hAnsi="Times New Roman"/>
          <w:lang w:val="en-US"/>
        </w:rPr>
        <w:t>3.2.4. Quy định khác:</w:t>
      </w:r>
    </w:p>
    <w:p w:rsidR="00BE76A4" w:rsidRPr="00303029" w:rsidRDefault="00BE76A4" w:rsidP="00BE76A4">
      <w:pPr>
        <w:pStyle w:val="Form"/>
        <w:widowControl w:val="0"/>
        <w:tabs>
          <w:tab w:val="left" w:pos="8209"/>
        </w:tabs>
        <w:spacing w:before="60" w:after="0" w:line="240" w:lineRule="auto"/>
        <w:ind w:firstLine="709"/>
        <w:rPr>
          <w:rFonts w:ascii="Times New Roman" w:hAnsi="Times New Roman"/>
          <w:lang w:val="vi-VN"/>
        </w:rPr>
      </w:pPr>
      <w:r w:rsidRPr="00303029">
        <w:rPr>
          <w:rFonts w:ascii="Times New Roman" w:hAnsi="Times New Roman"/>
          <w:lang w:val="vi-VN"/>
        </w:rPr>
        <w:t>- Mức kinh phí ngân sách bố trí chi thường xuyên hàng năm cho các đơn vị trên cơ sở yêu cầu các đơn vị phấn đấu nâng mức tự trang trải nhu cầu chi từ nguồn thu của mình để dành nguồn ưu tiên bố trí cho những đơn vị có nguồn thu hạn chế, hoạt động chủ yếu bằng nguồn ngân sách nhà nước;</w:t>
      </w:r>
    </w:p>
    <w:p w:rsidR="00BE76A4" w:rsidRPr="00303029" w:rsidRDefault="00BE76A4" w:rsidP="00BE76A4">
      <w:pPr>
        <w:pStyle w:val="Form"/>
        <w:widowControl w:val="0"/>
        <w:tabs>
          <w:tab w:val="left" w:pos="8209"/>
        </w:tabs>
        <w:spacing w:before="60" w:after="0" w:line="240" w:lineRule="auto"/>
        <w:ind w:firstLine="709"/>
        <w:rPr>
          <w:rFonts w:ascii="Times New Roman" w:hAnsi="Times New Roman"/>
          <w:lang w:val="vi-VN"/>
        </w:rPr>
      </w:pPr>
      <w:r w:rsidRPr="00303029">
        <w:rPr>
          <w:rFonts w:ascii="Times New Roman" w:hAnsi="Times New Roman"/>
          <w:lang w:val="vi-VN"/>
        </w:rPr>
        <w:t>- Kinh phí hoạt động sự nghiệp được tính toán căn cứ nhiệm vụ được giao, tình hình thực tế và khả năng cân đối ngân sách địa phương được HĐND tỉnh quyết định trong phương án phân bổ ngân sách tỉnh;</w:t>
      </w:r>
    </w:p>
    <w:p w:rsidR="00BE76A4" w:rsidRPr="00303029" w:rsidRDefault="00BE76A4" w:rsidP="00BE76A4">
      <w:pPr>
        <w:pStyle w:val="Form"/>
        <w:widowControl w:val="0"/>
        <w:tabs>
          <w:tab w:val="left" w:pos="8209"/>
        </w:tabs>
        <w:spacing w:before="60" w:after="0" w:line="240" w:lineRule="auto"/>
        <w:ind w:firstLine="709"/>
        <w:rPr>
          <w:rFonts w:ascii="Times New Roman" w:hAnsi="Times New Roman"/>
          <w:lang w:val="en-US"/>
        </w:rPr>
      </w:pPr>
      <w:r w:rsidRPr="00303029">
        <w:rPr>
          <w:rFonts w:ascii="Times New Roman" w:hAnsi="Times New Roman"/>
          <w:lang w:val="vi-VN"/>
        </w:rPr>
        <w:lastRenderedPageBreak/>
        <w:t>- Trường hợp được cơ quan có thẩm quyền cho phép thành lập các đơn vị sự nghiệp mới hoặc mở rộng quy mô, hoạt động: Căn cứ Đề án được cấp có thẩm quyền phê duyệt, trên cơ sở quy mô, khả năng thu, mức chi và nhiệm vụ cụ thể của đơn vị, các cơ quan liên quan sẽ thảo luận để xác định kinh phí tăng thêm (trong kỳ thảo luận dự toán ngân sách hàng năm) để trình HĐND tỉnh quyết định</w:t>
      </w:r>
      <w:r w:rsidR="00AE5C02" w:rsidRPr="00303029">
        <w:rPr>
          <w:rFonts w:ascii="Times New Roman" w:hAnsi="Times New Roman"/>
          <w:lang w:val="en-US"/>
        </w:rPr>
        <w:t>.</w:t>
      </w:r>
    </w:p>
    <w:p w:rsidR="00BE76A4" w:rsidRPr="00303029" w:rsidRDefault="00BE76A4" w:rsidP="00BE76A4">
      <w:pPr>
        <w:pStyle w:val="Form"/>
        <w:widowControl w:val="0"/>
        <w:tabs>
          <w:tab w:val="left" w:pos="8209"/>
        </w:tabs>
        <w:spacing w:before="60" w:after="0" w:line="240" w:lineRule="auto"/>
        <w:ind w:firstLine="709"/>
        <w:rPr>
          <w:rFonts w:ascii="Times New Roman" w:hAnsi="Times New Roman"/>
          <w:lang w:val="vi-VN"/>
        </w:rPr>
      </w:pPr>
      <w:r w:rsidRPr="00303029">
        <w:rPr>
          <w:rFonts w:ascii="Times New Roman" w:hAnsi="Times New Roman"/>
          <w:lang w:val="vi-VN"/>
        </w:rPr>
        <w:t xml:space="preserve">- Các </w:t>
      </w:r>
      <w:r w:rsidR="00303029" w:rsidRPr="00303029">
        <w:rPr>
          <w:rFonts w:ascii="Times New Roman" w:hAnsi="Times New Roman"/>
          <w:lang w:val="en-US"/>
        </w:rPr>
        <w:t>S</w:t>
      </w:r>
      <w:r w:rsidRPr="00303029">
        <w:rPr>
          <w:rFonts w:ascii="Times New Roman" w:hAnsi="Times New Roman"/>
          <w:lang w:val="vi-VN"/>
        </w:rPr>
        <w:t>ở chuyên ngành có trách nhiệm ban hành hệ thống định mức phân bổ chi ngân sách cho các đơn vị trực thuộc, đảm bảo phân bổ khớp đúng về tổng mức, phù hợp với đặc điểm thực tế và nguồn thu của các đơn vị trực thuộc, bảo đảm công khai, minh bạch và theo đúng các quy định của pháp luật.</w:t>
      </w:r>
    </w:p>
    <w:p w:rsidR="00BE76A4" w:rsidRPr="00541399" w:rsidRDefault="00BE76A4" w:rsidP="00BE76A4">
      <w:pPr>
        <w:pStyle w:val="Form"/>
        <w:widowControl w:val="0"/>
        <w:tabs>
          <w:tab w:val="left" w:pos="8209"/>
        </w:tabs>
        <w:spacing w:before="60" w:after="0" w:line="240" w:lineRule="auto"/>
        <w:ind w:firstLine="709"/>
        <w:rPr>
          <w:rFonts w:ascii="Times New Roman" w:hAnsi="Times New Roman"/>
          <w:b/>
          <w:lang w:val="vi-VN"/>
        </w:rPr>
      </w:pPr>
      <w:r w:rsidRPr="00541399">
        <w:rPr>
          <w:rFonts w:ascii="Times New Roman" w:hAnsi="Times New Roman"/>
          <w:b/>
          <w:lang w:val="vi-VN"/>
        </w:rPr>
        <w:t>3.2</w:t>
      </w:r>
      <w:r w:rsidRPr="00541399">
        <w:rPr>
          <w:rFonts w:ascii="Times New Roman" w:hAnsi="Times New Roman"/>
          <w:b/>
          <w:lang w:val="en-US"/>
        </w:rPr>
        <w:t>.</w:t>
      </w:r>
      <w:r w:rsidRPr="00541399">
        <w:rPr>
          <w:rFonts w:ascii="Times New Roman" w:hAnsi="Times New Roman"/>
          <w:b/>
          <w:lang w:val="vi-VN"/>
        </w:rPr>
        <w:t xml:space="preserve"> Cấp huyện, </w:t>
      </w:r>
      <w:r w:rsidRPr="00541399">
        <w:rPr>
          <w:rFonts w:ascii="Times New Roman" w:hAnsi="Times New Roman"/>
          <w:b/>
          <w:lang w:val="en-US"/>
        </w:rPr>
        <w:t xml:space="preserve">cấp </w:t>
      </w:r>
      <w:r w:rsidRPr="00541399">
        <w:rPr>
          <w:rFonts w:ascii="Times New Roman" w:hAnsi="Times New Roman"/>
          <w:b/>
          <w:lang w:val="vi-VN"/>
        </w:rPr>
        <w:t>xã:</w:t>
      </w:r>
    </w:p>
    <w:p w:rsidR="00BE76A4" w:rsidRPr="00BF40BF" w:rsidRDefault="00BE76A4" w:rsidP="00BE76A4">
      <w:pPr>
        <w:pStyle w:val="Form"/>
        <w:widowControl w:val="0"/>
        <w:tabs>
          <w:tab w:val="left" w:pos="8209"/>
        </w:tabs>
        <w:spacing w:before="60" w:after="0" w:line="240" w:lineRule="auto"/>
        <w:ind w:firstLine="709"/>
        <w:rPr>
          <w:rFonts w:ascii="Times New Roman" w:hAnsi="Times New Roman"/>
          <w:color w:val="FF0000"/>
          <w:lang w:val="en-US"/>
        </w:rPr>
      </w:pPr>
      <w:r w:rsidRPr="00BF40BF">
        <w:rPr>
          <w:rFonts w:ascii="Times New Roman" w:hAnsi="Times New Roman"/>
          <w:lang w:val="en-US"/>
        </w:rPr>
        <w:t xml:space="preserve">3.2.1. Định mức </w:t>
      </w:r>
      <w:r w:rsidRPr="00BF40BF">
        <w:rPr>
          <w:rFonts w:ascii="Times New Roman" w:hAnsi="Times New Roman"/>
          <w:lang w:val="vi-VN"/>
        </w:rPr>
        <w:t xml:space="preserve">chi thường xuyên hoạt động bộ máy hành chính của các đơn vị </w:t>
      </w:r>
      <w:r w:rsidRPr="00BF40BF">
        <w:rPr>
          <w:rFonts w:ascii="Times New Roman" w:hAnsi="Times New Roman"/>
          <w:lang w:val="en-US"/>
        </w:rPr>
        <w:t xml:space="preserve">hóa thông tin, thể dục thể thao, phát thanh truyền hình do cấp huyện quản lý áp dụng </w:t>
      </w:r>
      <w:r w:rsidRPr="00BF40BF">
        <w:rPr>
          <w:rFonts w:ascii="Times New Roman" w:hAnsi="Times New Roman"/>
          <w:lang w:val="vi-VN"/>
        </w:rPr>
        <w:t xml:space="preserve">mức </w:t>
      </w:r>
      <w:r w:rsidRPr="00BF40BF">
        <w:rPr>
          <w:rFonts w:ascii="Times New Roman" w:hAnsi="Times New Roman"/>
          <w:color w:val="FF0000"/>
          <w:lang w:val="vi-VN"/>
        </w:rPr>
        <w:t xml:space="preserve">quy định tại </w:t>
      </w:r>
      <w:r w:rsidRPr="00BF40BF">
        <w:rPr>
          <w:rFonts w:ascii="Times New Roman" w:hAnsi="Times New Roman"/>
          <w:color w:val="FF0000"/>
          <w:lang w:val="en-US"/>
        </w:rPr>
        <w:t>khoản 2 Điều 3 Quy định này.</w:t>
      </w:r>
    </w:p>
    <w:p w:rsidR="00BE76A4" w:rsidRPr="00BF40BF" w:rsidRDefault="00BE76A4" w:rsidP="00BE76A4">
      <w:pPr>
        <w:pStyle w:val="Form"/>
        <w:widowControl w:val="0"/>
        <w:tabs>
          <w:tab w:val="left" w:pos="8209"/>
        </w:tabs>
        <w:spacing w:before="60" w:after="0" w:line="240" w:lineRule="auto"/>
        <w:ind w:firstLine="709"/>
        <w:rPr>
          <w:rFonts w:ascii="Times New Roman" w:hAnsi="Times New Roman"/>
          <w:lang w:val="en-US"/>
        </w:rPr>
      </w:pPr>
      <w:r w:rsidRPr="00BF40BF">
        <w:rPr>
          <w:rFonts w:ascii="Times New Roman" w:hAnsi="Times New Roman"/>
          <w:lang w:val="en-US"/>
        </w:rPr>
        <w:t>3.2.2. Riêng kinh phí sự nghiệp văn hóa thông tin, sự nghiệp thể dục thể thao, sự nghiệp phát thanh truyền hình</w:t>
      </w:r>
      <w:r w:rsidR="002700CF">
        <w:rPr>
          <w:rFonts w:ascii="Times New Roman" w:hAnsi="Times New Roman"/>
          <w:lang w:val="en-US"/>
        </w:rPr>
        <w:t>, dân số</w:t>
      </w:r>
      <w:r w:rsidRPr="00BF40BF">
        <w:rPr>
          <w:rFonts w:ascii="Times New Roman" w:hAnsi="Times New Roman"/>
          <w:lang w:val="en-US"/>
        </w:rPr>
        <w:t xml:space="preserve"> được phân bổ theo định mức sau:</w:t>
      </w:r>
    </w:p>
    <w:p w:rsidR="00BE76A4" w:rsidRPr="00BF40BF" w:rsidRDefault="00BE76A4" w:rsidP="00BE76A4">
      <w:pPr>
        <w:pStyle w:val="Form"/>
        <w:widowControl w:val="0"/>
        <w:tabs>
          <w:tab w:val="left" w:pos="8209"/>
        </w:tabs>
        <w:spacing w:before="60" w:after="120" w:line="240" w:lineRule="auto"/>
        <w:ind w:firstLine="709"/>
        <w:rPr>
          <w:rFonts w:ascii="Times New Roman" w:hAnsi="Times New Roman"/>
          <w:lang w:val="en-US"/>
        </w:rPr>
      </w:pPr>
      <w:r w:rsidRPr="00BF40BF">
        <w:rPr>
          <w:rFonts w:ascii="Times New Roman" w:hAnsi="Times New Roman"/>
          <w:lang w:val="en-US"/>
        </w:rPr>
        <w:t>a) Sự nghiệp văn hóa thông tin:</w:t>
      </w:r>
    </w:p>
    <w:tbl>
      <w:tblPr>
        <w:tblW w:w="908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05"/>
        <w:gridCol w:w="4678"/>
      </w:tblGrid>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right="142"/>
              <w:jc w:val="center"/>
              <w:rPr>
                <w:sz w:val="28"/>
              </w:rPr>
            </w:pPr>
            <w:r w:rsidRPr="00BF40BF">
              <w:rPr>
                <w:b/>
                <w:bCs/>
                <w:sz w:val="28"/>
                <w:szCs w:val="28"/>
              </w:rPr>
              <w:t>Chỉ tiêu</w:t>
            </w:r>
          </w:p>
        </w:tc>
        <w:tc>
          <w:tcPr>
            <w:tcW w:w="4678" w:type="dxa"/>
            <w:shd w:val="clear" w:color="auto" w:fill="auto"/>
            <w:tcMar>
              <w:top w:w="0" w:type="dxa"/>
              <w:left w:w="0" w:type="dxa"/>
              <w:bottom w:w="0" w:type="dxa"/>
              <w:right w:w="0" w:type="dxa"/>
            </w:tcMar>
          </w:tcPr>
          <w:p w:rsidR="00BE76A4" w:rsidRPr="00BF40BF" w:rsidRDefault="00BE76A4" w:rsidP="007F6BEB">
            <w:pPr>
              <w:spacing w:before="20" w:after="20"/>
              <w:jc w:val="center"/>
              <w:rPr>
                <w:sz w:val="28"/>
              </w:rPr>
            </w:pPr>
            <w:r w:rsidRPr="00BF40BF">
              <w:rPr>
                <w:b/>
                <w:sz w:val="28"/>
                <w:szCs w:val="28"/>
                <w:lang w:val="en-US"/>
              </w:rPr>
              <w:t>Định mức phân bổ</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b/>
                <w:sz w:val="28"/>
                <w:lang w:val="en-US"/>
              </w:rPr>
            </w:pPr>
            <w:r w:rsidRPr="00BF40BF">
              <w:rPr>
                <w:b/>
                <w:sz w:val="28"/>
                <w:lang w:val="en-US"/>
              </w:rPr>
              <w:t>* Cấp huyện:</w:t>
            </w:r>
          </w:p>
        </w:tc>
        <w:tc>
          <w:tcPr>
            <w:tcW w:w="4678"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b/>
                <w:sz w:val="28"/>
              </w:rPr>
            </w:pP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Phân bổ theo địa bàn hành chính</w:t>
            </w:r>
          </w:p>
        </w:tc>
        <w:tc>
          <w:tcPr>
            <w:tcW w:w="4678"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sz w:val="28"/>
              </w:rPr>
            </w:pPr>
            <w:r w:rsidRPr="00BF40BF">
              <w:rPr>
                <w:sz w:val="28"/>
              </w:rPr>
              <w:t> </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 Thành phố</w:t>
            </w:r>
          </w:p>
        </w:tc>
        <w:tc>
          <w:tcPr>
            <w:tcW w:w="4678" w:type="dxa"/>
            <w:shd w:val="clear" w:color="auto" w:fill="auto"/>
            <w:tcMar>
              <w:top w:w="0" w:type="dxa"/>
              <w:left w:w="0" w:type="dxa"/>
              <w:bottom w:w="0" w:type="dxa"/>
              <w:right w:w="0" w:type="dxa"/>
            </w:tcMar>
          </w:tcPr>
          <w:p w:rsidR="00BE76A4" w:rsidRPr="00BF40BF" w:rsidRDefault="009C5F41" w:rsidP="007F6BEB">
            <w:pPr>
              <w:spacing w:before="20" w:after="20"/>
              <w:ind w:left="141" w:right="135"/>
              <w:jc w:val="both"/>
              <w:rPr>
                <w:sz w:val="28"/>
              </w:rPr>
            </w:pPr>
            <w:r>
              <w:rPr>
                <w:sz w:val="28"/>
                <w:lang w:val="en-US"/>
              </w:rPr>
              <w:t>413</w:t>
            </w:r>
            <w:r w:rsidR="00BE76A4" w:rsidRPr="00BF40BF">
              <w:rPr>
                <w:sz w:val="28"/>
              </w:rPr>
              <w:t xml:space="preserve"> triệu đồng/thành phố/năm</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 Các huyện, thị xã</w:t>
            </w:r>
          </w:p>
        </w:tc>
        <w:tc>
          <w:tcPr>
            <w:tcW w:w="4678" w:type="dxa"/>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3</w:t>
            </w:r>
            <w:r w:rsidR="009C5F41">
              <w:rPr>
                <w:sz w:val="28"/>
                <w:lang w:val="en-US"/>
              </w:rPr>
              <w:t>3</w:t>
            </w:r>
            <w:r w:rsidRPr="00BF40BF">
              <w:rPr>
                <w:sz w:val="28"/>
              </w:rPr>
              <w:t>0 triệu đồng/huyện, thị xã/năm</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Bổ sung cho đội thông tin lưu động</w:t>
            </w:r>
          </w:p>
        </w:tc>
        <w:tc>
          <w:tcPr>
            <w:tcW w:w="4678"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sz w:val="28"/>
              </w:rPr>
            </w:pPr>
            <w:r w:rsidRPr="00BF40BF">
              <w:rPr>
                <w:sz w:val="28"/>
              </w:rPr>
              <w:t> </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 xml:space="preserve"> Huyện miền núi</w:t>
            </w:r>
          </w:p>
        </w:tc>
        <w:tc>
          <w:tcPr>
            <w:tcW w:w="4678" w:type="dxa"/>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1</w:t>
            </w:r>
            <w:r w:rsidR="009C5F41">
              <w:rPr>
                <w:sz w:val="28"/>
                <w:lang w:val="en-US"/>
              </w:rPr>
              <w:t>6</w:t>
            </w:r>
            <w:r w:rsidRPr="00BF40BF">
              <w:rPr>
                <w:sz w:val="28"/>
              </w:rPr>
              <w:t>5 triệu đồng/đội thông tin lưu động</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rPr>
            </w:pPr>
            <w:r w:rsidRPr="00BF40BF">
              <w:rPr>
                <w:sz w:val="28"/>
                <w:lang w:val="en-US"/>
              </w:rPr>
              <w:t xml:space="preserve">  +</w:t>
            </w:r>
            <w:r w:rsidRPr="00BF40BF">
              <w:rPr>
                <w:sz w:val="28"/>
              </w:rPr>
              <w:t xml:space="preserve"> Huyện, thành phố, thị xã còn lại</w:t>
            </w:r>
          </w:p>
        </w:tc>
        <w:tc>
          <w:tcPr>
            <w:tcW w:w="4678" w:type="dxa"/>
            <w:shd w:val="clear" w:color="auto" w:fill="auto"/>
            <w:tcMar>
              <w:top w:w="0" w:type="dxa"/>
              <w:left w:w="0" w:type="dxa"/>
              <w:bottom w:w="0" w:type="dxa"/>
              <w:right w:w="0" w:type="dxa"/>
            </w:tcMar>
          </w:tcPr>
          <w:p w:rsidR="00BE76A4" w:rsidRPr="00BF40BF" w:rsidRDefault="009C5F41" w:rsidP="007F6BEB">
            <w:pPr>
              <w:spacing w:before="20" w:after="20"/>
              <w:ind w:left="141" w:right="135"/>
              <w:jc w:val="both"/>
              <w:rPr>
                <w:sz w:val="28"/>
              </w:rPr>
            </w:pPr>
            <w:r>
              <w:rPr>
                <w:sz w:val="28"/>
                <w:lang w:val="en-US"/>
              </w:rPr>
              <w:t>102</w:t>
            </w:r>
            <w:r w:rsidR="00BE76A4" w:rsidRPr="00BF40BF">
              <w:rPr>
                <w:sz w:val="28"/>
              </w:rPr>
              <w:t xml:space="preserve"> triệu đồng/đội thông tin lưu động</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b/>
                <w:sz w:val="28"/>
                <w:lang w:val="en-US"/>
              </w:rPr>
            </w:pPr>
            <w:r w:rsidRPr="00BF40BF">
              <w:rPr>
                <w:b/>
                <w:sz w:val="28"/>
                <w:lang w:val="en-US"/>
              </w:rPr>
              <w:t>* Cấp xã:</w:t>
            </w:r>
          </w:p>
        </w:tc>
        <w:tc>
          <w:tcPr>
            <w:tcW w:w="4678"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sz w:val="28"/>
              </w:rPr>
            </w:pPr>
          </w:p>
        </w:tc>
      </w:tr>
      <w:tr w:rsidR="00961F4A" w:rsidRPr="00BF40BF" w:rsidTr="007F6BEB">
        <w:trPr>
          <w:jc w:val="center"/>
        </w:trPr>
        <w:tc>
          <w:tcPr>
            <w:tcW w:w="4405" w:type="dxa"/>
            <w:shd w:val="clear" w:color="auto" w:fill="auto"/>
            <w:tcMar>
              <w:top w:w="0" w:type="dxa"/>
              <w:left w:w="0" w:type="dxa"/>
              <w:bottom w:w="0" w:type="dxa"/>
              <w:right w:w="0" w:type="dxa"/>
            </w:tcMar>
          </w:tcPr>
          <w:p w:rsidR="00961F4A" w:rsidRPr="00BF40BF" w:rsidRDefault="00961F4A" w:rsidP="00961F4A">
            <w:pPr>
              <w:spacing w:before="20" w:after="20"/>
              <w:ind w:left="142" w:right="142"/>
              <w:jc w:val="both"/>
              <w:rPr>
                <w:sz w:val="28"/>
                <w:lang w:val="en-US"/>
              </w:rPr>
            </w:pPr>
            <w:r w:rsidRPr="00BF40BF">
              <w:rPr>
                <w:sz w:val="28"/>
                <w:lang w:val="en-US"/>
              </w:rPr>
              <w:t>- Xã, thị trấn</w:t>
            </w:r>
          </w:p>
        </w:tc>
        <w:tc>
          <w:tcPr>
            <w:tcW w:w="4678" w:type="dxa"/>
            <w:shd w:val="clear" w:color="auto" w:fill="auto"/>
            <w:tcMar>
              <w:top w:w="0" w:type="dxa"/>
              <w:left w:w="0" w:type="dxa"/>
              <w:bottom w:w="0" w:type="dxa"/>
              <w:right w:w="0" w:type="dxa"/>
            </w:tcMar>
          </w:tcPr>
          <w:p w:rsidR="00961F4A" w:rsidRPr="00D332A8" w:rsidRDefault="009C5F41" w:rsidP="00961F4A">
            <w:pPr>
              <w:spacing w:before="20" w:after="20"/>
              <w:ind w:left="141" w:right="135"/>
              <w:jc w:val="both"/>
              <w:rPr>
                <w:color w:val="FF0000"/>
                <w:sz w:val="28"/>
              </w:rPr>
            </w:pPr>
            <w:r>
              <w:rPr>
                <w:color w:val="FF0000"/>
                <w:sz w:val="28"/>
                <w:lang w:val="en-US"/>
              </w:rPr>
              <w:t>14,6</w:t>
            </w:r>
            <w:r w:rsidR="00961F4A" w:rsidRPr="00D332A8">
              <w:rPr>
                <w:color w:val="FF0000"/>
                <w:sz w:val="28"/>
              </w:rPr>
              <w:t xml:space="preserve"> triệu đồng/xã, thị trấn/năm</w:t>
            </w:r>
          </w:p>
        </w:tc>
      </w:tr>
      <w:tr w:rsidR="00961F4A" w:rsidRPr="00BF40BF" w:rsidTr="007F6BEB">
        <w:trPr>
          <w:jc w:val="center"/>
        </w:trPr>
        <w:tc>
          <w:tcPr>
            <w:tcW w:w="4405" w:type="dxa"/>
            <w:shd w:val="clear" w:color="auto" w:fill="auto"/>
            <w:tcMar>
              <w:top w:w="0" w:type="dxa"/>
              <w:left w:w="0" w:type="dxa"/>
              <w:bottom w:w="0" w:type="dxa"/>
              <w:right w:w="0" w:type="dxa"/>
            </w:tcMar>
          </w:tcPr>
          <w:p w:rsidR="00961F4A" w:rsidRPr="00BF40BF" w:rsidRDefault="00961F4A" w:rsidP="00961F4A">
            <w:pPr>
              <w:spacing w:before="20" w:after="20"/>
              <w:ind w:left="142" w:right="142"/>
              <w:jc w:val="both"/>
              <w:rPr>
                <w:sz w:val="28"/>
                <w:lang w:val="en-US"/>
              </w:rPr>
            </w:pPr>
            <w:r w:rsidRPr="00BF40BF">
              <w:rPr>
                <w:sz w:val="28"/>
                <w:lang w:val="en-US"/>
              </w:rPr>
              <w:t>- Phường</w:t>
            </w:r>
          </w:p>
        </w:tc>
        <w:tc>
          <w:tcPr>
            <w:tcW w:w="4678" w:type="dxa"/>
            <w:shd w:val="clear" w:color="auto" w:fill="auto"/>
            <w:tcMar>
              <w:top w:w="0" w:type="dxa"/>
              <w:left w:w="0" w:type="dxa"/>
              <w:bottom w:w="0" w:type="dxa"/>
              <w:right w:w="0" w:type="dxa"/>
            </w:tcMar>
          </w:tcPr>
          <w:p w:rsidR="00961F4A" w:rsidRPr="00D332A8" w:rsidRDefault="009C5F41" w:rsidP="00961F4A">
            <w:pPr>
              <w:spacing w:before="20" w:after="20"/>
              <w:ind w:left="141" w:right="135"/>
              <w:jc w:val="both"/>
              <w:rPr>
                <w:color w:val="FF0000"/>
                <w:sz w:val="28"/>
              </w:rPr>
            </w:pPr>
            <w:r>
              <w:rPr>
                <w:color w:val="FF0000"/>
                <w:sz w:val="28"/>
                <w:lang w:val="en-US"/>
              </w:rPr>
              <w:t>17,6</w:t>
            </w:r>
            <w:r w:rsidR="00961F4A" w:rsidRPr="00D332A8">
              <w:rPr>
                <w:color w:val="FF0000"/>
                <w:sz w:val="28"/>
              </w:rPr>
              <w:t xml:space="preserve"> triệu đồng/phường/năm</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Hỗ trợ </w:t>
            </w:r>
            <w:r w:rsidRPr="00BF40BF">
              <w:rPr>
                <w:sz w:val="28"/>
              </w:rPr>
              <w:t>Ban công tác Mặt trận ở khu dân cư thực hiện cuộc vận động “Toàn dân đoàn kết xây dựng nông thôn mới, đô thị văn minh”</w:t>
            </w:r>
            <w:r w:rsidRPr="00BF40BF">
              <w:rPr>
                <w:sz w:val="28"/>
                <w:lang w:val="en-US"/>
              </w:rPr>
              <w:t>:</w:t>
            </w:r>
          </w:p>
        </w:tc>
        <w:tc>
          <w:tcPr>
            <w:tcW w:w="4678" w:type="dxa"/>
            <w:shd w:val="clear" w:color="auto" w:fill="auto"/>
            <w:tcMar>
              <w:top w:w="0" w:type="dxa"/>
              <w:left w:w="0" w:type="dxa"/>
              <w:bottom w:w="0" w:type="dxa"/>
              <w:right w:w="0" w:type="dxa"/>
            </w:tcMar>
          </w:tcPr>
          <w:p w:rsidR="00BE76A4" w:rsidRPr="00D332A8" w:rsidRDefault="00BE76A4" w:rsidP="007F6BEB">
            <w:pPr>
              <w:spacing w:before="20" w:after="20"/>
              <w:ind w:left="141" w:right="135"/>
              <w:jc w:val="both"/>
              <w:rPr>
                <w:color w:val="FF0000"/>
                <w:sz w:val="28"/>
              </w:rPr>
            </w:pPr>
            <w:r w:rsidRPr="00D332A8">
              <w:rPr>
                <w:color w:val="FF0000"/>
                <w:sz w:val="28"/>
              </w:rPr>
              <w:t>(bao gồm cả thực hiện Phong trào “Toàn dân đoàn kết xây dựng đời sống văn hóa”)</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w:t>
            </w:r>
            <w:r w:rsidRPr="00BF40BF">
              <w:rPr>
                <w:sz w:val="28"/>
              </w:rPr>
              <w:t>Khu dân cư có quy mô dân số dưới 700 hộ dân</w:t>
            </w:r>
          </w:p>
        </w:tc>
        <w:tc>
          <w:tcPr>
            <w:tcW w:w="4678" w:type="dxa"/>
            <w:shd w:val="clear" w:color="auto" w:fill="auto"/>
            <w:tcMar>
              <w:top w:w="0" w:type="dxa"/>
              <w:left w:w="0" w:type="dxa"/>
              <w:bottom w:w="0" w:type="dxa"/>
              <w:right w:w="0" w:type="dxa"/>
            </w:tcMar>
          </w:tcPr>
          <w:p w:rsidR="00BE76A4" w:rsidRPr="00D332A8" w:rsidRDefault="00BE76A4" w:rsidP="007F6BEB">
            <w:pPr>
              <w:spacing w:before="20" w:after="20"/>
              <w:ind w:left="141" w:right="135"/>
              <w:jc w:val="both"/>
              <w:rPr>
                <w:color w:val="FF0000"/>
                <w:sz w:val="28"/>
              </w:rPr>
            </w:pPr>
            <w:r w:rsidRPr="00D332A8">
              <w:rPr>
                <w:color w:val="FF0000"/>
                <w:sz w:val="28"/>
              </w:rPr>
              <w:t>05 triệu đồng/năm/khu dân cư</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Q</w:t>
            </w:r>
            <w:r w:rsidRPr="00BF40BF">
              <w:rPr>
                <w:sz w:val="28"/>
              </w:rPr>
              <w:t xml:space="preserve">uy mô dân số cứ tăng thêm 200 hộ dân thì được hỗ trợ thêm </w:t>
            </w:r>
          </w:p>
        </w:tc>
        <w:tc>
          <w:tcPr>
            <w:tcW w:w="4678" w:type="dxa"/>
            <w:shd w:val="clear" w:color="auto" w:fill="auto"/>
            <w:tcMar>
              <w:top w:w="0" w:type="dxa"/>
              <w:left w:w="0" w:type="dxa"/>
              <w:bottom w:w="0" w:type="dxa"/>
              <w:right w:w="0" w:type="dxa"/>
            </w:tcMar>
          </w:tcPr>
          <w:p w:rsidR="00BE76A4" w:rsidRPr="00D332A8" w:rsidRDefault="00BE76A4" w:rsidP="007F6BEB">
            <w:pPr>
              <w:spacing w:before="20" w:after="20"/>
              <w:ind w:left="141" w:right="135"/>
              <w:jc w:val="both"/>
              <w:rPr>
                <w:color w:val="FF0000"/>
                <w:sz w:val="28"/>
              </w:rPr>
            </w:pPr>
            <w:r w:rsidRPr="00D332A8">
              <w:rPr>
                <w:color w:val="FF0000"/>
                <w:sz w:val="28"/>
              </w:rPr>
              <w:t>01 triệu đồng/năm/khu dân cư</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Khu dân cư của các xã thuộc vùng khó khăn theo Quyết định hiện hành của Thủ tướng Chính phủ có quy mô dân số dưới 700 hộ dân</w:t>
            </w:r>
          </w:p>
        </w:tc>
        <w:tc>
          <w:tcPr>
            <w:tcW w:w="4678" w:type="dxa"/>
            <w:shd w:val="clear" w:color="auto" w:fill="auto"/>
            <w:tcMar>
              <w:top w:w="0" w:type="dxa"/>
              <w:left w:w="0" w:type="dxa"/>
              <w:bottom w:w="0" w:type="dxa"/>
              <w:right w:w="0" w:type="dxa"/>
            </w:tcMar>
          </w:tcPr>
          <w:p w:rsidR="00BE76A4" w:rsidRPr="00D332A8" w:rsidRDefault="00BE76A4" w:rsidP="007F6BEB">
            <w:pPr>
              <w:spacing w:before="20" w:after="20"/>
              <w:ind w:left="141" w:right="135"/>
              <w:jc w:val="both"/>
              <w:rPr>
                <w:color w:val="FF0000"/>
                <w:sz w:val="28"/>
              </w:rPr>
            </w:pPr>
            <w:r w:rsidRPr="00D332A8">
              <w:rPr>
                <w:color w:val="FF0000"/>
                <w:sz w:val="28"/>
              </w:rPr>
              <w:t>06 triệu đồng/năm/khu dân cư</w:t>
            </w:r>
          </w:p>
        </w:tc>
      </w:tr>
      <w:tr w:rsidR="00BE76A4" w:rsidRPr="00BF40BF" w:rsidTr="007F6BEB">
        <w:trPr>
          <w:jc w:val="center"/>
        </w:trPr>
        <w:tc>
          <w:tcPr>
            <w:tcW w:w="4405"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lastRenderedPageBreak/>
              <w:t xml:space="preserve">     Quy mô dân số cứ tăng thêm 200 hộ dân thì được hỗ trợ thêm</w:t>
            </w:r>
          </w:p>
        </w:tc>
        <w:tc>
          <w:tcPr>
            <w:tcW w:w="4678" w:type="dxa"/>
            <w:shd w:val="clear" w:color="auto" w:fill="auto"/>
            <w:tcMar>
              <w:top w:w="0" w:type="dxa"/>
              <w:left w:w="0" w:type="dxa"/>
              <w:bottom w:w="0" w:type="dxa"/>
              <w:right w:w="0" w:type="dxa"/>
            </w:tcMar>
          </w:tcPr>
          <w:p w:rsidR="00BE76A4" w:rsidRPr="00D332A8" w:rsidRDefault="00BE76A4" w:rsidP="007F6BEB">
            <w:pPr>
              <w:spacing w:before="20" w:after="20"/>
              <w:ind w:left="141" w:right="135"/>
              <w:jc w:val="both"/>
              <w:rPr>
                <w:color w:val="FF0000"/>
                <w:sz w:val="28"/>
              </w:rPr>
            </w:pPr>
            <w:r w:rsidRPr="00D332A8">
              <w:rPr>
                <w:color w:val="FF0000"/>
                <w:sz w:val="28"/>
              </w:rPr>
              <w:t>01 triệu đồng/năm/khu dân cư</w:t>
            </w:r>
          </w:p>
        </w:tc>
      </w:tr>
    </w:tbl>
    <w:p w:rsidR="00BE76A4" w:rsidRPr="00BF40BF" w:rsidRDefault="00BE76A4" w:rsidP="00BE76A4">
      <w:pPr>
        <w:pStyle w:val="Form"/>
        <w:widowControl w:val="0"/>
        <w:tabs>
          <w:tab w:val="left" w:pos="8209"/>
        </w:tabs>
        <w:spacing w:before="120" w:after="120" w:line="240" w:lineRule="auto"/>
        <w:ind w:firstLine="709"/>
        <w:rPr>
          <w:rFonts w:ascii="Times New Roman" w:hAnsi="Times New Roman"/>
          <w:color w:val="0000CC"/>
          <w:lang w:val="vi-VN"/>
        </w:rPr>
      </w:pPr>
      <w:r w:rsidRPr="00BF40BF">
        <w:rPr>
          <w:rFonts w:ascii="Times New Roman" w:hAnsi="Times New Roman"/>
          <w:color w:val="0000CC"/>
          <w:lang w:val="vi-VN"/>
        </w:rPr>
        <w:t>Định mức phân bổ trên chưa bao gồm kinh phí cho các hoạt động văn hóa đặc thù, bảo tồn, bảo tàng vật thể, phi vật thể, hoạt động văn hóa dân gian.</w:t>
      </w:r>
    </w:p>
    <w:p w:rsidR="00BE76A4" w:rsidRPr="00BF40BF" w:rsidRDefault="00BE76A4" w:rsidP="00BE76A4">
      <w:pPr>
        <w:pStyle w:val="Form"/>
        <w:widowControl w:val="0"/>
        <w:tabs>
          <w:tab w:val="left" w:pos="8209"/>
        </w:tabs>
        <w:spacing w:before="60" w:after="120" w:line="240" w:lineRule="auto"/>
        <w:ind w:firstLine="709"/>
        <w:rPr>
          <w:rFonts w:ascii="Times New Roman" w:hAnsi="Times New Roman"/>
          <w:lang w:val="en-US"/>
        </w:rPr>
      </w:pPr>
      <w:r w:rsidRPr="00BF40BF">
        <w:rPr>
          <w:rFonts w:ascii="Times New Roman" w:hAnsi="Times New Roman"/>
          <w:lang w:val="en-US"/>
        </w:rPr>
        <w:t>b) Sự nghiệp thể dục thể thao:</w:t>
      </w:r>
    </w:p>
    <w:tbl>
      <w:tblPr>
        <w:tblW w:w="9082" w:type="dxa"/>
        <w:tblBorders>
          <w:top w:val="nil"/>
          <w:bottom w:val="nil"/>
          <w:insideH w:val="nil"/>
          <w:insideV w:val="nil"/>
        </w:tblBorders>
        <w:tblCellMar>
          <w:left w:w="0" w:type="dxa"/>
          <w:right w:w="0" w:type="dxa"/>
        </w:tblCellMar>
        <w:tblLook w:val="04A0" w:firstRow="1" w:lastRow="0" w:firstColumn="1" w:lastColumn="0" w:noHBand="0" w:noVBand="1"/>
      </w:tblPr>
      <w:tblGrid>
        <w:gridCol w:w="3554"/>
        <w:gridCol w:w="5528"/>
      </w:tblGrid>
      <w:tr w:rsidR="00BE76A4" w:rsidRPr="00BF40BF" w:rsidTr="007F6BEB">
        <w:tc>
          <w:tcPr>
            <w:tcW w:w="35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5528"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b/>
                <w:sz w:val="28"/>
                <w:lang w:val="en-US"/>
              </w:rPr>
            </w:pPr>
            <w:r w:rsidRPr="00BF40BF">
              <w:rPr>
                <w:b/>
                <w:sz w:val="28"/>
                <w:lang w:val="en-US"/>
              </w:rPr>
              <w:t>* Cấp huyện:</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b/>
                <w:sz w:val="28"/>
              </w:rPr>
            </w:pP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254CB6">
            <w:pPr>
              <w:spacing w:before="20" w:after="20"/>
              <w:ind w:left="142" w:right="142"/>
              <w:jc w:val="both"/>
              <w:rPr>
                <w:sz w:val="28"/>
                <w:lang w:val="en-US"/>
              </w:rPr>
            </w:pPr>
            <w:r w:rsidRPr="00BF40BF">
              <w:rPr>
                <w:sz w:val="28"/>
                <w:lang w:val="en-US"/>
              </w:rPr>
              <w:t>- Huyện, thành phố, thị xã</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2</w:t>
            </w:r>
            <w:r w:rsidR="009C5F41">
              <w:rPr>
                <w:sz w:val="28"/>
                <w:lang w:val="en-US"/>
              </w:rPr>
              <w:t>2</w:t>
            </w:r>
            <w:r w:rsidRPr="00BF40BF">
              <w:rPr>
                <w:sz w:val="28"/>
              </w:rPr>
              <w:t>0 triệu đồng/huyện</w:t>
            </w:r>
            <w:r w:rsidRPr="00BF40BF">
              <w:rPr>
                <w:sz w:val="28"/>
                <w:lang w:val="en-US"/>
              </w:rPr>
              <w:t>, thành phố, thị xã</w:t>
            </w:r>
            <w:r w:rsidRPr="00BF40BF">
              <w:rPr>
                <w:sz w:val="28"/>
              </w:rPr>
              <w:t>/năm</w:t>
            </w:r>
          </w:p>
        </w:tc>
      </w:tr>
      <w:tr w:rsidR="00254CB6"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254CB6" w:rsidRPr="00BF40BF" w:rsidRDefault="00254CB6" w:rsidP="007F6BEB">
            <w:pPr>
              <w:spacing w:before="20" w:after="20"/>
              <w:ind w:left="142" w:right="142"/>
              <w:jc w:val="both"/>
              <w:rPr>
                <w:b/>
                <w:sz w:val="28"/>
                <w:lang w:val="en-US"/>
              </w:rPr>
            </w:pPr>
            <w:r w:rsidRPr="00BF40BF">
              <w:rPr>
                <w:sz w:val="28"/>
                <w:lang w:val="en-US"/>
              </w:rPr>
              <w:t>- Huyện đảo Cồn Cỏ</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254CB6" w:rsidRPr="00BF40BF" w:rsidRDefault="00254CB6" w:rsidP="009C5F41">
            <w:pPr>
              <w:spacing w:before="20" w:after="20"/>
              <w:ind w:left="141" w:right="135"/>
              <w:jc w:val="both"/>
              <w:rPr>
                <w:b/>
                <w:sz w:val="28"/>
              </w:rPr>
            </w:pPr>
            <w:r w:rsidRPr="00BF40BF">
              <w:rPr>
                <w:sz w:val="28"/>
              </w:rPr>
              <w:t>1</w:t>
            </w:r>
            <w:r w:rsidR="009C5F41">
              <w:rPr>
                <w:sz w:val="28"/>
                <w:lang w:val="en-US"/>
              </w:rPr>
              <w:t>6</w:t>
            </w:r>
            <w:r w:rsidRPr="00BF40BF">
              <w:rPr>
                <w:sz w:val="28"/>
              </w:rPr>
              <w:t xml:space="preserve">5 triệu đồng/huyện </w:t>
            </w:r>
            <w:r w:rsidRPr="00BF40BF">
              <w:rPr>
                <w:sz w:val="28"/>
                <w:lang w:val="en-US"/>
              </w:rPr>
              <w:t>đảo</w:t>
            </w:r>
            <w:r w:rsidRPr="00BF40BF">
              <w:rPr>
                <w:sz w:val="28"/>
              </w:rPr>
              <w:t>/năm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b/>
                <w:sz w:val="28"/>
                <w:lang w:val="en-US"/>
              </w:rPr>
            </w:pPr>
            <w:r w:rsidRPr="00BF40BF">
              <w:rPr>
                <w:b/>
                <w:sz w:val="28"/>
                <w:lang w:val="en-US"/>
              </w:rPr>
              <w:t>* Cấp xã:</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b/>
                <w:sz w:val="28"/>
              </w:rPr>
            </w:pP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Xã, thị trấn</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9C5F41" w:rsidP="007F6BEB">
            <w:pPr>
              <w:spacing w:before="20" w:after="20"/>
              <w:ind w:left="141" w:right="135"/>
              <w:jc w:val="both"/>
              <w:rPr>
                <w:sz w:val="28"/>
              </w:rPr>
            </w:pPr>
            <w:r>
              <w:rPr>
                <w:sz w:val="28"/>
                <w:lang w:val="en-US"/>
              </w:rPr>
              <w:t>11,7</w:t>
            </w:r>
            <w:r w:rsidR="00BE76A4" w:rsidRPr="00BF40BF">
              <w:rPr>
                <w:sz w:val="28"/>
              </w:rPr>
              <w:t xml:space="preserve"> triệu đồng/xã, thị trấn/năm</w:t>
            </w:r>
          </w:p>
        </w:tc>
      </w:tr>
      <w:tr w:rsidR="00BE76A4" w:rsidRPr="00BF40BF" w:rsidTr="007F6BEB">
        <w:tblPrEx>
          <w:tblBorders>
            <w:top w:val="none" w:sz="0" w:space="0" w:color="auto"/>
            <w:bottom w:val="none" w:sz="0" w:space="0" w:color="auto"/>
            <w:insideH w:val="none" w:sz="0" w:space="0" w:color="auto"/>
            <w:insideV w:val="none" w:sz="0" w:space="0" w:color="auto"/>
          </w:tblBorders>
        </w:tblPrEx>
        <w:tc>
          <w:tcPr>
            <w:tcW w:w="3554"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Phường</w:t>
            </w:r>
          </w:p>
        </w:tc>
        <w:tc>
          <w:tcPr>
            <w:tcW w:w="5528" w:type="dxa"/>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BE76A4" w:rsidRPr="00BF40BF" w:rsidRDefault="009C5F41" w:rsidP="007F6BEB">
            <w:pPr>
              <w:spacing w:before="20" w:after="20"/>
              <w:ind w:left="141" w:right="135"/>
              <w:jc w:val="both"/>
              <w:rPr>
                <w:sz w:val="28"/>
              </w:rPr>
            </w:pPr>
            <w:r>
              <w:rPr>
                <w:sz w:val="28"/>
                <w:lang w:val="en-US"/>
              </w:rPr>
              <w:t>14,6</w:t>
            </w:r>
            <w:r w:rsidR="00BE76A4" w:rsidRPr="00BF40BF">
              <w:rPr>
                <w:sz w:val="28"/>
              </w:rPr>
              <w:t xml:space="preserve"> triệu đồng/phường/năm</w:t>
            </w:r>
          </w:p>
        </w:tc>
      </w:tr>
    </w:tbl>
    <w:p w:rsidR="00BE76A4" w:rsidRPr="00BF40BF" w:rsidRDefault="00BE76A4" w:rsidP="00BE76A4">
      <w:pPr>
        <w:pStyle w:val="Form"/>
        <w:widowControl w:val="0"/>
        <w:tabs>
          <w:tab w:val="left" w:pos="8209"/>
        </w:tabs>
        <w:spacing w:before="60" w:after="120" w:line="240" w:lineRule="auto"/>
        <w:ind w:firstLine="709"/>
        <w:rPr>
          <w:rFonts w:ascii="Times New Roman" w:hAnsi="Times New Roman"/>
          <w:lang w:val="en-US"/>
        </w:rPr>
      </w:pPr>
      <w:r w:rsidRPr="00BF40BF">
        <w:rPr>
          <w:rFonts w:ascii="Times New Roman" w:hAnsi="Times New Roman"/>
          <w:lang w:val="en-US"/>
        </w:rPr>
        <w:t>c) Sự nghiệp phát thanh truyền hình:</w:t>
      </w:r>
    </w:p>
    <w:tbl>
      <w:tblPr>
        <w:tblW w:w="909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561"/>
        <w:gridCol w:w="4531"/>
      </w:tblGrid>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4531"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b/>
                <w:sz w:val="28"/>
                <w:lang w:val="en-US"/>
              </w:rPr>
            </w:pPr>
            <w:r w:rsidRPr="00BF40BF">
              <w:rPr>
                <w:b/>
                <w:sz w:val="28"/>
                <w:lang w:val="en-US"/>
              </w:rPr>
              <w:t>* Cấp huyện:</w:t>
            </w:r>
          </w:p>
        </w:tc>
        <w:tc>
          <w:tcPr>
            <w:tcW w:w="4531"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sz w:val="28"/>
              </w:rPr>
            </w:pPr>
          </w:p>
        </w:tc>
      </w:tr>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Phân bổ theo đơn vị đài huyện</w:t>
            </w:r>
          </w:p>
        </w:tc>
        <w:tc>
          <w:tcPr>
            <w:tcW w:w="4531" w:type="dxa"/>
            <w:shd w:val="clear" w:color="auto" w:fill="auto"/>
            <w:tcMar>
              <w:top w:w="0" w:type="dxa"/>
              <w:left w:w="0" w:type="dxa"/>
              <w:bottom w:w="0" w:type="dxa"/>
              <w:right w:w="0" w:type="dxa"/>
            </w:tcMar>
          </w:tcPr>
          <w:p w:rsidR="00BE76A4" w:rsidRPr="00BF40BF" w:rsidRDefault="00BE76A4" w:rsidP="007F6BEB">
            <w:pPr>
              <w:spacing w:before="20" w:after="20"/>
              <w:ind w:left="141" w:right="135"/>
              <w:jc w:val="both"/>
              <w:rPr>
                <w:sz w:val="28"/>
              </w:rPr>
            </w:pPr>
            <w:r w:rsidRPr="00BF40BF">
              <w:rPr>
                <w:sz w:val="28"/>
              </w:rPr>
              <w:t> </w:t>
            </w:r>
          </w:p>
        </w:tc>
      </w:tr>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Hướng Hóa, Đakrông</w:t>
            </w:r>
          </w:p>
        </w:tc>
        <w:tc>
          <w:tcPr>
            <w:tcW w:w="4531" w:type="dxa"/>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2</w:t>
            </w:r>
            <w:r w:rsidR="009C5F41">
              <w:rPr>
                <w:sz w:val="28"/>
                <w:lang w:val="en-US"/>
              </w:rPr>
              <w:t>2</w:t>
            </w:r>
            <w:r w:rsidRPr="00BF40BF">
              <w:rPr>
                <w:sz w:val="28"/>
              </w:rPr>
              <w:t>0 triệu đồng/huyện/năm</w:t>
            </w:r>
          </w:p>
        </w:tc>
      </w:tr>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Huyện đảo Cồn Cỏ</w:t>
            </w:r>
          </w:p>
        </w:tc>
        <w:tc>
          <w:tcPr>
            <w:tcW w:w="4531" w:type="dxa"/>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2</w:t>
            </w:r>
            <w:r w:rsidR="009C5F41">
              <w:rPr>
                <w:sz w:val="28"/>
                <w:lang w:val="en-US"/>
              </w:rPr>
              <w:t>2</w:t>
            </w:r>
            <w:r w:rsidRPr="00BF40BF">
              <w:rPr>
                <w:sz w:val="28"/>
              </w:rPr>
              <w:t>0 triệu đồng/huyện/năm</w:t>
            </w:r>
          </w:p>
        </w:tc>
      </w:tr>
      <w:tr w:rsidR="00BE76A4" w:rsidRPr="00BF40BF" w:rsidTr="00873AE0">
        <w:tc>
          <w:tcPr>
            <w:tcW w:w="4561"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Các huyện còn lại</w:t>
            </w:r>
          </w:p>
        </w:tc>
        <w:tc>
          <w:tcPr>
            <w:tcW w:w="4531" w:type="dxa"/>
            <w:shd w:val="clear" w:color="auto" w:fill="auto"/>
            <w:tcMar>
              <w:top w:w="0" w:type="dxa"/>
              <w:left w:w="0" w:type="dxa"/>
              <w:bottom w:w="0" w:type="dxa"/>
              <w:right w:w="0" w:type="dxa"/>
            </w:tcMar>
          </w:tcPr>
          <w:p w:rsidR="00BE76A4" w:rsidRPr="00BF40BF" w:rsidRDefault="009C5F41" w:rsidP="007F6BEB">
            <w:pPr>
              <w:spacing w:before="20" w:after="20"/>
              <w:ind w:left="141" w:right="135"/>
              <w:jc w:val="both"/>
              <w:rPr>
                <w:sz w:val="28"/>
              </w:rPr>
            </w:pPr>
            <w:r>
              <w:rPr>
                <w:sz w:val="28"/>
                <w:lang w:val="en-US"/>
              </w:rPr>
              <w:t>146,3</w:t>
            </w:r>
            <w:r w:rsidR="00BE76A4" w:rsidRPr="00BF40BF">
              <w:rPr>
                <w:sz w:val="28"/>
              </w:rPr>
              <w:t xml:space="preserve"> triệu đồng/huyện/năm</w:t>
            </w:r>
          </w:p>
        </w:tc>
      </w:tr>
      <w:tr w:rsidR="00BE76A4" w:rsidRPr="00BF40BF" w:rsidTr="009C5F41">
        <w:tc>
          <w:tcPr>
            <w:tcW w:w="4561" w:type="dxa"/>
            <w:tcBorders>
              <w:bottom w:val="single" w:sz="6" w:space="0" w:color="000000"/>
            </w:tcBorders>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Phân bổ theo trạm phát lại vùng cao, hải đảo</w:t>
            </w:r>
          </w:p>
        </w:tc>
        <w:tc>
          <w:tcPr>
            <w:tcW w:w="4531" w:type="dxa"/>
            <w:tcBorders>
              <w:bottom w:val="single" w:sz="6" w:space="0" w:color="000000"/>
            </w:tcBorders>
            <w:shd w:val="clear" w:color="auto" w:fill="auto"/>
            <w:tcMar>
              <w:top w:w="0" w:type="dxa"/>
              <w:left w:w="0" w:type="dxa"/>
              <w:bottom w:w="0" w:type="dxa"/>
              <w:right w:w="0" w:type="dxa"/>
            </w:tcMar>
          </w:tcPr>
          <w:p w:rsidR="00BE76A4" w:rsidRPr="00BF40BF" w:rsidRDefault="00BE76A4" w:rsidP="009C5F41">
            <w:pPr>
              <w:spacing w:before="20" w:after="20"/>
              <w:ind w:left="141" w:right="135"/>
              <w:jc w:val="both"/>
              <w:rPr>
                <w:sz w:val="28"/>
              </w:rPr>
            </w:pPr>
            <w:r w:rsidRPr="00BF40BF">
              <w:rPr>
                <w:sz w:val="28"/>
              </w:rPr>
              <w:t>2</w:t>
            </w:r>
            <w:r w:rsidR="009C5F41">
              <w:rPr>
                <w:sz w:val="28"/>
                <w:lang w:val="en-US"/>
              </w:rPr>
              <w:t>2</w:t>
            </w:r>
            <w:r w:rsidRPr="00BF40BF">
              <w:rPr>
                <w:sz w:val="28"/>
              </w:rPr>
              <w:t>0 triệu đồng/huyện/năm</w:t>
            </w:r>
          </w:p>
        </w:tc>
      </w:tr>
      <w:tr w:rsidR="00873AE0" w:rsidRPr="002E423F" w:rsidTr="009C5F41">
        <w:tc>
          <w:tcPr>
            <w:tcW w:w="4561" w:type="dxa"/>
            <w:tcBorders>
              <w:top w:val="single" w:sz="6" w:space="0" w:color="000000"/>
              <w:bottom w:val="single" w:sz="6" w:space="0" w:color="000000"/>
            </w:tcBorders>
            <w:shd w:val="clear" w:color="auto" w:fill="FFFFFF" w:themeFill="background1"/>
            <w:tcMar>
              <w:top w:w="0" w:type="dxa"/>
              <w:left w:w="0" w:type="dxa"/>
              <w:bottom w:w="0" w:type="dxa"/>
              <w:right w:w="0" w:type="dxa"/>
            </w:tcMar>
          </w:tcPr>
          <w:p w:rsidR="00873AE0" w:rsidRPr="004600DA" w:rsidRDefault="00873AE0" w:rsidP="007F6BEB">
            <w:pPr>
              <w:spacing w:before="20" w:after="20"/>
              <w:ind w:left="142" w:right="142"/>
              <w:jc w:val="both"/>
              <w:rPr>
                <w:b/>
                <w:color w:val="FF0000"/>
                <w:sz w:val="28"/>
                <w:lang w:val="en-US"/>
              </w:rPr>
            </w:pPr>
            <w:r w:rsidRPr="004600DA">
              <w:rPr>
                <w:b/>
                <w:color w:val="FF0000"/>
                <w:sz w:val="28"/>
                <w:lang w:val="en-US"/>
              </w:rPr>
              <w:t>* Cấp xã</w:t>
            </w:r>
          </w:p>
        </w:tc>
        <w:tc>
          <w:tcPr>
            <w:tcW w:w="4531" w:type="dxa"/>
            <w:tcBorders>
              <w:top w:val="single" w:sz="6" w:space="0" w:color="000000"/>
              <w:bottom w:val="single" w:sz="6" w:space="0" w:color="000000"/>
            </w:tcBorders>
            <w:shd w:val="clear" w:color="auto" w:fill="FFFFFF" w:themeFill="background1"/>
            <w:tcMar>
              <w:top w:w="0" w:type="dxa"/>
              <w:left w:w="0" w:type="dxa"/>
              <w:bottom w:w="0" w:type="dxa"/>
              <w:right w:w="0" w:type="dxa"/>
            </w:tcMar>
          </w:tcPr>
          <w:p w:rsidR="00873AE0" w:rsidRPr="004600DA" w:rsidRDefault="00873AE0" w:rsidP="007F6BEB">
            <w:pPr>
              <w:spacing w:before="20" w:after="20"/>
              <w:ind w:left="141" w:right="135"/>
              <w:jc w:val="both"/>
              <w:rPr>
                <w:b/>
                <w:color w:val="FF0000"/>
                <w:sz w:val="28"/>
              </w:rPr>
            </w:pPr>
          </w:p>
        </w:tc>
      </w:tr>
      <w:tr w:rsidR="00873AE0" w:rsidRPr="00BF40BF" w:rsidTr="009C5F41">
        <w:tc>
          <w:tcPr>
            <w:tcW w:w="4561" w:type="dxa"/>
            <w:tcBorders>
              <w:top w:val="single" w:sz="6" w:space="0" w:color="000000"/>
              <w:bottom w:val="single" w:sz="8" w:space="0" w:color="000000"/>
            </w:tcBorders>
            <w:shd w:val="clear" w:color="auto" w:fill="FFFFFF" w:themeFill="background1"/>
            <w:tcMar>
              <w:top w:w="0" w:type="dxa"/>
              <w:left w:w="0" w:type="dxa"/>
              <w:bottom w:w="0" w:type="dxa"/>
              <w:right w:w="0" w:type="dxa"/>
            </w:tcMar>
          </w:tcPr>
          <w:p w:rsidR="00873AE0" w:rsidRPr="004600DA" w:rsidRDefault="00873AE0" w:rsidP="00873AE0">
            <w:pPr>
              <w:spacing w:before="20" w:after="20"/>
              <w:ind w:left="142" w:right="142"/>
              <w:jc w:val="both"/>
              <w:rPr>
                <w:color w:val="FF0000"/>
                <w:sz w:val="28"/>
                <w:lang w:val="en-US"/>
              </w:rPr>
            </w:pPr>
            <w:r w:rsidRPr="004600DA">
              <w:rPr>
                <w:color w:val="FF0000"/>
                <w:sz w:val="28"/>
                <w:lang w:val="en-US"/>
              </w:rPr>
              <w:t>- Hỗ trợ các hoạt động truyền thanh và các hoạt động thông tin khác cấp xã</w:t>
            </w:r>
          </w:p>
        </w:tc>
        <w:tc>
          <w:tcPr>
            <w:tcW w:w="4531" w:type="dxa"/>
            <w:tcBorders>
              <w:top w:val="single" w:sz="6" w:space="0" w:color="000000"/>
              <w:bottom w:val="single" w:sz="8" w:space="0" w:color="000000"/>
            </w:tcBorders>
            <w:shd w:val="clear" w:color="auto" w:fill="FFFFFF" w:themeFill="background1"/>
            <w:tcMar>
              <w:top w:w="0" w:type="dxa"/>
              <w:left w:w="0" w:type="dxa"/>
              <w:bottom w:w="0" w:type="dxa"/>
              <w:right w:w="0" w:type="dxa"/>
            </w:tcMar>
          </w:tcPr>
          <w:p w:rsidR="00873AE0" w:rsidRPr="004600DA" w:rsidRDefault="00873AE0" w:rsidP="007F6BEB">
            <w:pPr>
              <w:spacing w:before="20" w:after="20"/>
              <w:ind w:left="141" w:right="135"/>
              <w:jc w:val="both"/>
              <w:rPr>
                <w:color w:val="FF0000"/>
                <w:sz w:val="28"/>
                <w:lang w:val="en-US"/>
              </w:rPr>
            </w:pPr>
            <w:r w:rsidRPr="004600DA">
              <w:rPr>
                <w:color w:val="FF0000"/>
                <w:sz w:val="28"/>
                <w:lang w:val="en-US"/>
              </w:rPr>
              <w:t>10 triệu đồng/xã, phường, thị trấn/năm</w:t>
            </w:r>
          </w:p>
        </w:tc>
      </w:tr>
    </w:tbl>
    <w:p w:rsidR="00BE76A4" w:rsidRPr="007136BB" w:rsidRDefault="00BE76A4" w:rsidP="00BE76A4">
      <w:pPr>
        <w:pStyle w:val="Form"/>
        <w:widowControl w:val="0"/>
        <w:tabs>
          <w:tab w:val="left" w:pos="8209"/>
        </w:tabs>
        <w:spacing w:before="60" w:after="120" w:line="240" w:lineRule="auto"/>
        <w:ind w:firstLine="709"/>
        <w:rPr>
          <w:rFonts w:ascii="Times New Roman" w:hAnsi="Times New Roman"/>
          <w:color w:val="FF0000"/>
          <w:lang w:val="en-US"/>
        </w:rPr>
      </w:pPr>
      <w:r w:rsidRPr="007136BB">
        <w:rPr>
          <w:rFonts w:ascii="Times New Roman" w:hAnsi="Times New Roman"/>
          <w:color w:val="FF0000"/>
          <w:lang w:val="en-US"/>
        </w:rPr>
        <w:t xml:space="preserve">d) </w:t>
      </w:r>
      <w:r w:rsidR="00D06982">
        <w:rPr>
          <w:rFonts w:ascii="Times New Roman" w:hAnsi="Times New Roman"/>
          <w:color w:val="FF0000"/>
          <w:lang w:val="en-US"/>
        </w:rPr>
        <w:t xml:space="preserve">Hỗ trợ kinh phí hoạt động </w:t>
      </w:r>
      <w:r w:rsidRPr="007136BB">
        <w:rPr>
          <w:rFonts w:ascii="Times New Roman" w:hAnsi="Times New Roman"/>
          <w:color w:val="FF0000"/>
          <w:lang w:val="en-US"/>
        </w:rPr>
        <w:t>dân số:</w:t>
      </w:r>
    </w:p>
    <w:tbl>
      <w:tblPr>
        <w:tblW w:w="906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676"/>
        <w:gridCol w:w="5386"/>
      </w:tblGrid>
      <w:tr w:rsidR="007136BB" w:rsidRPr="007136BB" w:rsidTr="00E8071A">
        <w:tc>
          <w:tcPr>
            <w:tcW w:w="3676" w:type="dxa"/>
            <w:shd w:val="clear" w:color="auto" w:fill="auto"/>
            <w:tcMar>
              <w:top w:w="0" w:type="dxa"/>
              <w:left w:w="0" w:type="dxa"/>
              <w:bottom w:w="0" w:type="dxa"/>
              <w:right w:w="0" w:type="dxa"/>
            </w:tcMar>
          </w:tcPr>
          <w:p w:rsidR="00BE76A4" w:rsidRPr="007136BB" w:rsidRDefault="00BE76A4" w:rsidP="007F6BEB">
            <w:pPr>
              <w:spacing w:before="20" w:after="20"/>
              <w:jc w:val="center"/>
              <w:rPr>
                <w:color w:val="FF0000"/>
                <w:sz w:val="28"/>
              </w:rPr>
            </w:pPr>
            <w:r w:rsidRPr="007136BB">
              <w:rPr>
                <w:b/>
                <w:bCs/>
                <w:color w:val="FF0000"/>
                <w:sz w:val="28"/>
                <w:szCs w:val="28"/>
              </w:rPr>
              <w:t>Chỉ tiêu</w:t>
            </w:r>
          </w:p>
        </w:tc>
        <w:tc>
          <w:tcPr>
            <w:tcW w:w="5386" w:type="dxa"/>
            <w:shd w:val="clear" w:color="auto" w:fill="auto"/>
            <w:tcMar>
              <w:top w:w="0" w:type="dxa"/>
              <w:left w:w="0" w:type="dxa"/>
              <w:bottom w:w="0" w:type="dxa"/>
              <w:right w:w="0" w:type="dxa"/>
            </w:tcMar>
          </w:tcPr>
          <w:p w:rsidR="00BE76A4" w:rsidRPr="007136BB" w:rsidRDefault="00BE76A4" w:rsidP="007F6BEB">
            <w:pPr>
              <w:spacing w:before="20" w:after="20"/>
              <w:jc w:val="center"/>
              <w:rPr>
                <w:color w:val="FF0000"/>
                <w:sz w:val="28"/>
              </w:rPr>
            </w:pPr>
            <w:r w:rsidRPr="007136BB">
              <w:rPr>
                <w:b/>
                <w:color w:val="FF0000"/>
                <w:sz w:val="28"/>
                <w:szCs w:val="28"/>
                <w:lang w:val="en-US"/>
              </w:rPr>
              <w:t>Định mức phân bổ</w:t>
            </w:r>
          </w:p>
        </w:tc>
      </w:tr>
      <w:tr w:rsidR="007136BB" w:rsidRPr="007136BB" w:rsidTr="00E8071A">
        <w:tc>
          <w:tcPr>
            <w:tcW w:w="3676" w:type="dxa"/>
            <w:shd w:val="clear" w:color="auto" w:fill="auto"/>
            <w:tcMar>
              <w:top w:w="0" w:type="dxa"/>
              <w:left w:w="0" w:type="dxa"/>
              <w:bottom w:w="0" w:type="dxa"/>
              <w:right w:w="0" w:type="dxa"/>
            </w:tcMar>
          </w:tcPr>
          <w:p w:rsidR="00BE76A4" w:rsidRPr="007136BB" w:rsidRDefault="00BE76A4" w:rsidP="00E8071A">
            <w:pPr>
              <w:spacing w:before="20" w:after="20"/>
              <w:ind w:left="142" w:right="142"/>
              <w:jc w:val="both"/>
              <w:rPr>
                <w:color w:val="FF0000"/>
                <w:sz w:val="28"/>
              </w:rPr>
            </w:pPr>
            <w:r w:rsidRPr="007136BB">
              <w:rPr>
                <w:color w:val="FF0000"/>
                <w:sz w:val="28"/>
              </w:rPr>
              <w:t xml:space="preserve">- </w:t>
            </w:r>
            <w:r w:rsidR="008B0B59" w:rsidRPr="007136BB">
              <w:rPr>
                <w:color w:val="FF0000"/>
                <w:sz w:val="28"/>
                <w:lang w:val="en-US"/>
              </w:rPr>
              <w:t>Hỗ trợ h</w:t>
            </w:r>
            <w:r w:rsidRPr="007136BB">
              <w:rPr>
                <w:color w:val="FF0000"/>
                <w:sz w:val="28"/>
              </w:rPr>
              <w:t xml:space="preserve">oạt </w:t>
            </w:r>
            <w:r w:rsidRPr="007136BB">
              <w:rPr>
                <w:color w:val="FF0000"/>
                <w:sz w:val="28"/>
                <w:lang w:val="en-US"/>
              </w:rPr>
              <w:t>động</w:t>
            </w:r>
            <w:r w:rsidR="00E8071A" w:rsidRPr="007136BB">
              <w:rPr>
                <w:color w:val="FF0000"/>
                <w:sz w:val="28"/>
              </w:rPr>
              <w:t xml:space="preserve"> dân số</w:t>
            </w:r>
          </w:p>
        </w:tc>
        <w:tc>
          <w:tcPr>
            <w:tcW w:w="5386" w:type="dxa"/>
            <w:shd w:val="clear" w:color="auto" w:fill="auto"/>
            <w:tcMar>
              <w:top w:w="0" w:type="dxa"/>
              <w:left w:w="0" w:type="dxa"/>
              <w:bottom w:w="0" w:type="dxa"/>
              <w:right w:w="0" w:type="dxa"/>
            </w:tcMar>
          </w:tcPr>
          <w:p w:rsidR="00BE76A4" w:rsidRPr="007136BB" w:rsidRDefault="00BE76A4" w:rsidP="007F6BEB">
            <w:pPr>
              <w:spacing w:before="20" w:after="20"/>
              <w:ind w:left="141" w:right="135"/>
              <w:jc w:val="both"/>
              <w:rPr>
                <w:color w:val="FF0000"/>
                <w:sz w:val="28"/>
              </w:rPr>
            </w:pPr>
            <w:r w:rsidRPr="007136BB">
              <w:rPr>
                <w:color w:val="FF0000"/>
                <w:sz w:val="28"/>
              </w:rPr>
              <w:t>50 triệu đồng/huyện</w:t>
            </w:r>
            <w:r w:rsidR="008B0B59" w:rsidRPr="007136BB">
              <w:rPr>
                <w:color w:val="FF0000"/>
                <w:sz w:val="28"/>
                <w:lang w:val="en-US"/>
              </w:rPr>
              <w:t>, thành phố, thị xã</w:t>
            </w:r>
            <w:r w:rsidRPr="007136BB">
              <w:rPr>
                <w:color w:val="FF0000"/>
                <w:sz w:val="28"/>
              </w:rPr>
              <w:t>/năm</w:t>
            </w:r>
          </w:p>
        </w:tc>
      </w:tr>
    </w:tbl>
    <w:p w:rsidR="00BE76A4" w:rsidRPr="00BF40BF" w:rsidRDefault="00BE76A4" w:rsidP="00BE76A4">
      <w:pPr>
        <w:spacing w:after="120"/>
        <w:rPr>
          <w:color w:val="FF0000"/>
        </w:rPr>
      </w:pPr>
    </w:p>
    <w:p w:rsidR="00BE76A4" w:rsidRPr="009C5F41" w:rsidRDefault="00BE76A4" w:rsidP="00BE76A4">
      <w:pPr>
        <w:spacing w:after="120"/>
        <w:jc w:val="both"/>
        <w:rPr>
          <w:b/>
          <w:sz w:val="28"/>
          <w:szCs w:val="28"/>
          <w:lang w:val="en-US"/>
        </w:rPr>
      </w:pPr>
      <w:r w:rsidRPr="00BF40BF">
        <w:rPr>
          <w:b/>
          <w:sz w:val="28"/>
        </w:rPr>
        <w:tab/>
      </w:r>
      <w:r w:rsidRPr="009C5F41">
        <w:rPr>
          <w:b/>
          <w:sz w:val="28"/>
          <w:szCs w:val="28"/>
          <w:lang w:val="en-US"/>
        </w:rPr>
        <w:t xml:space="preserve">Điều 6. </w:t>
      </w:r>
      <w:r w:rsidRPr="009C5F41">
        <w:rPr>
          <w:b/>
          <w:sz w:val="28"/>
          <w:szCs w:val="28"/>
        </w:rPr>
        <w:t>Định mức phân bổ chi sự nghiệp khoa học và công nghệ</w:t>
      </w:r>
    </w:p>
    <w:p w:rsidR="00BE76A4" w:rsidRPr="009C5F41" w:rsidRDefault="00BE76A4" w:rsidP="00BE76A4">
      <w:pPr>
        <w:spacing w:after="120"/>
        <w:ind w:firstLine="720"/>
        <w:jc w:val="both"/>
        <w:rPr>
          <w:sz w:val="28"/>
          <w:szCs w:val="28"/>
        </w:rPr>
      </w:pPr>
      <w:r w:rsidRPr="009C5F41">
        <w:rPr>
          <w:sz w:val="28"/>
          <w:szCs w:val="28"/>
        </w:rPr>
        <w:t xml:space="preserve">Căn cứ dự toán Trung ương giao, UBND tỉnh trình HĐND tỉnh quyết định </w:t>
      </w:r>
      <w:r w:rsidR="00EF565A" w:rsidRPr="009C5F41">
        <w:rPr>
          <w:sz w:val="28"/>
          <w:szCs w:val="28"/>
        </w:rPr>
        <w:t xml:space="preserve">bố trí với mức tăng hợp lý so với dự toán chi năm trước </w:t>
      </w:r>
      <w:r w:rsidRPr="009C5F41">
        <w:rPr>
          <w:sz w:val="28"/>
          <w:szCs w:val="28"/>
        </w:rPr>
        <w:t xml:space="preserve">đảm bảo nguyên tắc phân bổ </w:t>
      </w:r>
      <w:r w:rsidR="00EF565A" w:rsidRPr="009C5F41">
        <w:rPr>
          <w:sz w:val="28"/>
          <w:szCs w:val="28"/>
        </w:rPr>
        <w:t xml:space="preserve">không thấp hơn dự toán Chính phủ giao </w:t>
      </w:r>
      <w:r w:rsidRPr="009C5F41">
        <w:rPr>
          <w:sz w:val="28"/>
          <w:szCs w:val="28"/>
        </w:rPr>
        <w:t>cho địa phương hàng năm.</w:t>
      </w:r>
    </w:p>
    <w:p w:rsidR="00BE76A4" w:rsidRPr="00BF40BF" w:rsidRDefault="00BE76A4" w:rsidP="00BE76A4">
      <w:pPr>
        <w:spacing w:after="120"/>
        <w:jc w:val="both"/>
        <w:rPr>
          <w:b/>
          <w:sz w:val="28"/>
        </w:rPr>
      </w:pPr>
      <w:r w:rsidRPr="00BF40BF">
        <w:rPr>
          <w:b/>
          <w:sz w:val="28"/>
        </w:rPr>
        <w:tab/>
        <w:t xml:space="preserve">Điều 7. Định mức phân bổ chi sự nghiệp đảm bảo xã hội </w:t>
      </w:r>
    </w:p>
    <w:p w:rsidR="00BE76A4" w:rsidRPr="00BF40BF" w:rsidRDefault="00BE76A4" w:rsidP="00BE76A4">
      <w:pPr>
        <w:spacing w:after="120"/>
        <w:ind w:firstLine="720"/>
        <w:jc w:val="both"/>
        <w:rPr>
          <w:b/>
          <w:sz w:val="28"/>
        </w:rPr>
      </w:pPr>
      <w:r w:rsidRPr="00BF40BF">
        <w:rPr>
          <w:b/>
          <w:sz w:val="28"/>
        </w:rPr>
        <w:t>1. Cấp tỉnh</w:t>
      </w:r>
    </w:p>
    <w:p w:rsidR="00BE76A4" w:rsidRPr="00BF40BF" w:rsidRDefault="00BE76A4" w:rsidP="00BE76A4">
      <w:pPr>
        <w:spacing w:after="120"/>
        <w:ind w:firstLine="720"/>
        <w:jc w:val="both"/>
        <w:rPr>
          <w:color w:val="FF0000"/>
          <w:sz w:val="28"/>
        </w:rPr>
      </w:pPr>
      <w:r w:rsidRPr="00BF40BF">
        <w:rPr>
          <w:sz w:val="28"/>
        </w:rPr>
        <w:t xml:space="preserve">- Chi bộ máy của các đơn vị thuộc sự nghiệp đảm bảo xã hội được áp dụng định mức quy định </w:t>
      </w:r>
      <w:r w:rsidRPr="00BF40BF">
        <w:rPr>
          <w:color w:val="FF0000"/>
          <w:sz w:val="28"/>
        </w:rPr>
        <w:t xml:space="preserve">tại </w:t>
      </w:r>
      <w:r w:rsidRPr="00BF40BF">
        <w:rPr>
          <w:color w:val="FF0000"/>
          <w:sz w:val="28"/>
          <w:lang w:val="en-US"/>
        </w:rPr>
        <w:t>khoản 2 Điều 5 Nghị quyết này.</w:t>
      </w:r>
    </w:p>
    <w:p w:rsidR="00BE76A4" w:rsidRPr="00BF40BF" w:rsidRDefault="00BE76A4" w:rsidP="00BE76A4">
      <w:pPr>
        <w:spacing w:after="120"/>
        <w:ind w:firstLine="720"/>
        <w:jc w:val="both"/>
        <w:rPr>
          <w:sz w:val="28"/>
        </w:rPr>
      </w:pPr>
      <w:r w:rsidRPr="00BF40BF">
        <w:rPr>
          <w:sz w:val="28"/>
        </w:rPr>
        <w:lastRenderedPageBreak/>
        <w:t>- Căn cứ vào các chế độ, chính sách, định mức của Trung ương, địa phương ban hành và khả năng của ngân sách địa phương để cân đối đảm bảo chi sự nghiệp đảm bảo xã hội của ngành Lao động, Thương binh và Xã hội.</w:t>
      </w:r>
    </w:p>
    <w:p w:rsidR="00BE76A4" w:rsidRPr="00BF40BF" w:rsidRDefault="00BE76A4" w:rsidP="00BE76A4">
      <w:pPr>
        <w:spacing w:after="120"/>
        <w:ind w:firstLine="720"/>
        <w:jc w:val="both"/>
        <w:rPr>
          <w:b/>
          <w:sz w:val="28"/>
        </w:rPr>
      </w:pPr>
      <w:r w:rsidRPr="00BF40BF">
        <w:rPr>
          <w:b/>
          <w:sz w:val="28"/>
        </w:rPr>
        <w:t>2. Cấp huyện</w:t>
      </w:r>
    </w:p>
    <w:p w:rsidR="00BE76A4" w:rsidRPr="00BF40BF" w:rsidRDefault="00E324C0" w:rsidP="00BE76A4">
      <w:pPr>
        <w:spacing w:after="120"/>
        <w:ind w:firstLine="720"/>
        <w:jc w:val="both"/>
        <w:rPr>
          <w:sz w:val="28"/>
        </w:rPr>
      </w:pPr>
      <w:r>
        <w:rPr>
          <w:sz w:val="28"/>
          <w:lang w:val="en-US"/>
        </w:rPr>
        <w:t>2.1.</w:t>
      </w:r>
      <w:r w:rsidR="00BE76A4" w:rsidRPr="00BF40BF">
        <w:rPr>
          <w:sz w:val="28"/>
        </w:rPr>
        <w:t xml:space="preserve"> Định mức phân bổ chi cho các hoạt động đảm bảo xã hội cấp huyện:</w:t>
      </w:r>
    </w:p>
    <w:tbl>
      <w:tblPr>
        <w:tblW w:w="8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830"/>
        <w:gridCol w:w="4111"/>
      </w:tblGrid>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4111"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Chi hoạt động cứu trợ xã hội</w:t>
            </w:r>
          </w:p>
        </w:tc>
        <w:tc>
          <w:tcPr>
            <w:tcW w:w="4111" w:type="dxa"/>
            <w:shd w:val="clear" w:color="auto" w:fill="auto"/>
            <w:tcMar>
              <w:top w:w="0" w:type="dxa"/>
              <w:left w:w="0" w:type="dxa"/>
              <w:bottom w:w="0" w:type="dxa"/>
              <w:right w:w="0" w:type="dxa"/>
            </w:tcMar>
          </w:tcPr>
          <w:p w:rsidR="00BE76A4" w:rsidRPr="00230A56" w:rsidRDefault="00BE76A4" w:rsidP="007F6BEB">
            <w:pPr>
              <w:spacing w:before="20" w:after="20"/>
              <w:ind w:left="141" w:right="135"/>
              <w:jc w:val="both"/>
              <w:rPr>
                <w:color w:val="FF0000"/>
                <w:sz w:val="28"/>
              </w:rPr>
            </w:pP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Huyện đảo Cồn Cỏ</w:t>
            </w:r>
          </w:p>
        </w:tc>
        <w:tc>
          <w:tcPr>
            <w:tcW w:w="4111" w:type="dxa"/>
            <w:shd w:val="clear" w:color="auto" w:fill="auto"/>
            <w:tcMar>
              <w:top w:w="0" w:type="dxa"/>
              <w:left w:w="0" w:type="dxa"/>
              <w:bottom w:w="0" w:type="dxa"/>
              <w:right w:w="0" w:type="dxa"/>
            </w:tcMar>
          </w:tcPr>
          <w:p w:rsidR="00BE76A4" w:rsidRPr="00230A56" w:rsidRDefault="00BE76A4" w:rsidP="009C5F41">
            <w:pPr>
              <w:spacing w:before="20" w:after="20"/>
              <w:ind w:left="141" w:right="135"/>
              <w:jc w:val="both"/>
              <w:rPr>
                <w:color w:val="FF0000"/>
                <w:sz w:val="28"/>
              </w:rPr>
            </w:pPr>
            <w:r w:rsidRPr="00230A56">
              <w:rPr>
                <w:color w:val="FF0000"/>
                <w:sz w:val="28"/>
              </w:rPr>
              <w:t>1</w:t>
            </w:r>
            <w:r w:rsidR="009C5F41">
              <w:rPr>
                <w:color w:val="FF0000"/>
                <w:sz w:val="28"/>
                <w:lang w:val="en-US"/>
              </w:rPr>
              <w:t>10</w:t>
            </w:r>
            <w:r w:rsidRPr="00230A56">
              <w:rPr>
                <w:color w:val="FF0000"/>
                <w:sz w:val="28"/>
              </w:rPr>
              <w:t xml:space="preserve"> triệu đồng/năm</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Các huyện, thành phố, thị xã còn lại</w:t>
            </w:r>
          </w:p>
        </w:tc>
        <w:tc>
          <w:tcPr>
            <w:tcW w:w="4111" w:type="dxa"/>
            <w:shd w:val="clear" w:color="auto" w:fill="auto"/>
            <w:tcMar>
              <w:top w:w="0" w:type="dxa"/>
              <w:left w:w="0" w:type="dxa"/>
              <w:bottom w:w="0" w:type="dxa"/>
              <w:right w:w="0" w:type="dxa"/>
            </w:tcMar>
          </w:tcPr>
          <w:p w:rsidR="00BE76A4" w:rsidRPr="00230A56" w:rsidRDefault="009C5F41" w:rsidP="007F6BEB">
            <w:pPr>
              <w:spacing w:before="20" w:after="20"/>
              <w:ind w:left="141" w:right="135"/>
              <w:jc w:val="both"/>
              <w:rPr>
                <w:color w:val="FF0000"/>
                <w:sz w:val="28"/>
              </w:rPr>
            </w:pPr>
            <w:r>
              <w:rPr>
                <w:color w:val="FF0000"/>
                <w:sz w:val="28"/>
                <w:lang w:val="en-US"/>
              </w:rPr>
              <w:t>440</w:t>
            </w:r>
            <w:r w:rsidR="00BE76A4" w:rsidRPr="00230A56">
              <w:rPr>
                <w:color w:val="FF0000"/>
                <w:sz w:val="28"/>
              </w:rPr>
              <w:t xml:space="preserve"> triệu đồng/huyện/năm</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Chi hoạt động điều tra hộ nghèo, cung cầu lao động, ...: </w:t>
            </w:r>
          </w:p>
        </w:tc>
        <w:tc>
          <w:tcPr>
            <w:tcW w:w="4111" w:type="dxa"/>
            <w:shd w:val="clear" w:color="auto" w:fill="auto"/>
            <w:tcMar>
              <w:top w:w="0" w:type="dxa"/>
              <w:left w:w="0" w:type="dxa"/>
              <w:bottom w:w="0" w:type="dxa"/>
              <w:right w:w="0" w:type="dxa"/>
            </w:tcMar>
          </w:tcPr>
          <w:p w:rsidR="00BE76A4" w:rsidRPr="00230A56" w:rsidRDefault="006D3A8A" w:rsidP="009C5F41">
            <w:pPr>
              <w:spacing w:before="20" w:after="20"/>
              <w:ind w:left="141" w:right="135"/>
              <w:jc w:val="both"/>
              <w:rPr>
                <w:color w:val="FF0000"/>
                <w:sz w:val="28"/>
              </w:rPr>
            </w:pPr>
            <w:r w:rsidRPr="00230A56">
              <w:rPr>
                <w:color w:val="FF0000"/>
                <w:sz w:val="28"/>
              </w:rPr>
              <w:t>1</w:t>
            </w:r>
            <w:r w:rsidR="009C5F41">
              <w:rPr>
                <w:color w:val="FF0000"/>
                <w:sz w:val="28"/>
                <w:lang w:val="en-US"/>
              </w:rPr>
              <w:t>10</w:t>
            </w:r>
            <w:r w:rsidRPr="00230A56">
              <w:rPr>
                <w:color w:val="FF0000"/>
                <w:sz w:val="28"/>
              </w:rPr>
              <w:t xml:space="preserve"> triệu đồng/huyện/năm</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Chi chăm sóc các nghĩa trang liệt sỹ</w:t>
            </w:r>
            <w:r w:rsidR="00541399">
              <w:rPr>
                <w:sz w:val="28"/>
                <w:lang w:val="en-US"/>
              </w:rPr>
              <w:t xml:space="preserve"> cấp huyện</w:t>
            </w:r>
          </w:p>
        </w:tc>
        <w:tc>
          <w:tcPr>
            <w:tcW w:w="4111" w:type="dxa"/>
            <w:shd w:val="clear" w:color="auto" w:fill="auto"/>
            <w:tcMar>
              <w:top w:w="0" w:type="dxa"/>
              <w:left w:w="0" w:type="dxa"/>
              <w:bottom w:w="0" w:type="dxa"/>
              <w:right w:w="0" w:type="dxa"/>
            </w:tcMar>
          </w:tcPr>
          <w:p w:rsidR="00BE76A4" w:rsidRPr="00230A56" w:rsidRDefault="00BE76A4" w:rsidP="009C5F41">
            <w:pPr>
              <w:spacing w:before="20" w:after="20"/>
              <w:ind w:left="141" w:right="135"/>
              <w:jc w:val="both"/>
              <w:rPr>
                <w:color w:val="FF0000"/>
                <w:sz w:val="28"/>
              </w:rPr>
            </w:pPr>
            <w:r w:rsidRPr="00230A56">
              <w:rPr>
                <w:color w:val="FF0000"/>
                <w:sz w:val="28"/>
              </w:rPr>
              <w:t>3</w:t>
            </w:r>
            <w:r w:rsidR="009C5F41">
              <w:rPr>
                <w:color w:val="FF0000"/>
                <w:sz w:val="28"/>
                <w:lang w:val="en-US"/>
              </w:rPr>
              <w:t>9</w:t>
            </w:r>
            <w:r w:rsidRPr="00230A56">
              <w:rPr>
                <w:color w:val="FF0000"/>
                <w:sz w:val="28"/>
              </w:rPr>
              <w:t xml:space="preserve"> triệu đồng/nghĩa trang liệt sỹ</w:t>
            </w:r>
          </w:p>
        </w:tc>
      </w:tr>
    </w:tbl>
    <w:p w:rsidR="00BE76A4" w:rsidRPr="006B25C8" w:rsidRDefault="00BE76A4" w:rsidP="00BE76A4">
      <w:pPr>
        <w:spacing w:before="100" w:beforeAutospacing="1" w:after="120"/>
        <w:ind w:firstLine="720"/>
        <w:jc w:val="both"/>
        <w:rPr>
          <w:spacing w:val="-4"/>
          <w:sz w:val="28"/>
          <w:lang w:val="en-US"/>
        </w:rPr>
      </w:pPr>
      <w:r w:rsidRPr="006B25C8">
        <w:rPr>
          <w:spacing w:val="-4"/>
          <w:sz w:val="28"/>
          <w:lang w:val="en-US"/>
        </w:rPr>
        <w:t xml:space="preserve">- </w:t>
      </w:r>
      <w:r w:rsidRPr="006B25C8">
        <w:rPr>
          <w:spacing w:val="-4"/>
          <w:sz w:val="28"/>
        </w:rPr>
        <w:t xml:space="preserve">Định mức </w:t>
      </w:r>
      <w:r w:rsidRPr="006B25C8">
        <w:rPr>
          <w:spacing w:val="-4"/>
          <w:sz w:val="28"/>
          <w:lang w:val="en-US"/>
        </w:rPr>
        <w:t xml:space="preserve">chi hoạt động cứu trợ xã hội trên </w:t>
      </w:r>
      <w:r w:rsidRPr="006B25C8">
        <w:rPr>
          <w:spacing w:val="-4"/>
          <w:sz w:val="28"/>
        </w:rPr>
        <w:t>đã bao gồm</w:t>
      </w:r>
      <w:r w:rsidRPr="006B25C8">
        <w:rPr>
          <w:spacing w:val="-4"/>
          <w:sz w:val="28"/>
          <w:lang w:val="en-US"/>
        </w:rPr>
        <w:t xml:space="preserve"> c</w:t>
      </w:r>
      <w:r w:rsidRPr="006B25C8">
        <w:rPr>
          <w:spacing w:val="-4"/>
          <w:sz w:val="28"/>
        </w:rPr>
        <w:t>ác hoạt động đền ơn, đáp nghĩa; hỗ trợ cộng đồng dân cư khắc phục hậu quả thiên tai, cứu trợ xã hội</w:t>
      </w:r>
      <w:r w:rsidRPr="006B25C8">
        <w:rPr>
          <w:spacing w:val="-4"/>
          <w:sz w:val="28"/>
          <w:lang w:val="en-US"/>
        </w:rPr>
        <w:t>.</w:t>
      </w:r>
    </w:p>
    <w:p w:rsidR="00BE76A4" w:rsidRPr="006B25C8" w:rsidRDefault="00BE76A4" w:rsidP="00BE76A4">
      <w:pPr>
        <w:spacing w:after="120"/>
        <w:ind w:firstLine="720"/>
        <w:jc w:val="both"/>
        <w:rPr>
          <w:sz w:val="28"/>
        </w:rPr>
      </w:pPr>
      <w:r w:rsidRPr="006B25C8">
        <w:rPr>
          <w:sz w:val="28"/>
          <w:lang w:val="en-US"/>
        </w:rPr>
        <w:t xml:space="preserve">- </w:t>
      </w:r>
      <w:r w:rsidRPr="006B25C8">
        <w:rPr>
          <w:sz w:val="28"/>
        </w:rPr>
        <w:t>Định mức trên chưa bao gồm chi hỗ trợ cơ sở vật chất cho các cơ sở hoạt động trong các lĩnh vực đặc thù như: Trung tâm Bảo trợ trẻ em tàn tật, khuyết tật, trẻ mồ côi; chi hỗ trợ khắc phục thiên tai trên diện rộng vượt quá khả năng cân đối của ngân sách huyện.</w:t>
      </w:r>
    </w:p>
    <w:p w:rsidR="00BE76A4" w:rsidRPr="006B25C8" w:rsidRDefault="00E324C0" w:rsidP="00BE76A4">
      <w:pPr>
        <w:spacing w:after="120"/>
        <w:ind w:firstLine="720"/>
        <w:jc w:val="both"/>
        <w:rPr>
          <w:sz w:val="28"/>
        </w:rPr>
      </w:pPr>
      <w:r>
        <w:rPr>
          <w:sz w:val="28"/>
          <w:lang w:val="en-US"/>
        </w:rPr>
        <w:t>2.2.</w:t>
      </w:r>
      <w:r w:rsidR="00BE76A4" w:rsidRPr="006B25C8">
        <w:rPr>
          <w:sz w:val="28"/>
        </w:rPr>
        <w:t xml:space="preserve"> Định mức chi phân bổ theo tiêu chí bổ sung: </w:t>
      </w:r>
    </w:p>
    <w:p w:rsidR="00BE76A4" w:rsidRPr="006B25C8" w:rsidRDefault="007C1E51" w:rsidP="00BE76A4">
      <w:pPr>
        <w:spacing w:after="120"/>
        <w:ind w:firstLine="720"/>
        <w:jc w:val="both"/>
        <w:rPr>
          <w:sz w:val="28"/>
        </w:rPr>
      </w:pPr>
      <w:r>
        <w:rPr>
          <w:sz w:val="28"/>
          <w:lang w:val="en-US"/>
        </w:rPr>
        <w:t>-</w:t>
      </w:r>
      <w:r w:rsidR="00BE76A4" w:rsidRPr="006B25C8">
        <w:rPr>
          <w:sz w:val="28"/>
        </w:rPr>
        <w:t xml:space="preserve"> Kinh phí thực hiện trợ cấp thường xuyên, kinh phí hỗ trợ BHYT cho các đối tượng bảo trợ xã hội theo Nghị định số 20/2020/NĐ-CP của Chính phủ về chính sách trợ giúp các đối tượng bảo trợ xã hội. </w:t>
      </w:r>
    </w:p>
    <w:p w:rsidR="00BE76A4" w:rsidRPr="006B25C8" w:rsidRDefault="007C1E51" w:rsidP="00BE76A4">
      <w:pPr>
        <w:spacing w:after="120"/>
        <w:ind w:firstLine="720"/>
        <w:jc w:val="both"/>
        <w:rPr>
          <w:sz w:val="28"/>
        </w:rPr>
      </w:pPr>
      <w:r>
        <w:rPr>
          <w:sz w:val="28"/>
          <w:lang w:val="en-US"/>
        </w:rPr>
        <w:t>-</w:t>
      </w:r>
      <w:r w:rsidR="00BE76A4" w:rsidRPr="006B25C8">
        <w:rPr>
          <w:sz w:val="28"/>
        </w:rPr>
        <w:t xml:space="preserve"> Kinh phí hỗ trợ tiền điện hộ nghèo, hộ chính sách xã hội. </w:t>
      </w:r>
    </w:p>
    <w:p w:rsidR="00BE76A4" w:rsidRPr="00BF40BF" w:rsidRDefault="00BE76A4" w:rsidP="00BE76A4">
      <w:pPr>
        <w:spacing w:after="120"/>
        <w:ind w:firstLine="720"/>
        <w:jc w:val="both"/>
        <w:rPr>
          <w:b/>
          <w:sz w:val="28"/>
        </w:rPr>
      </w:pPr>
      <w:r w:rsidRPr="00BF40BF">
        <w:rPr>
          <w:b/>
          <w:sz w:val="28"/>
        </w:rPr>
        <w:t>3. Cấp xã</w:t>
      </w:r>
    </w:p>
    <w:p w:rsidR="00BE76A4" w:rsidRPr="00BF40BF" w:rsidRDefault="00E324C0" w:rsidP="00BE76A4">
      <w:pPr>
        <w:spacing w:after="120"/>
        <w:ind w:firstLine="720"/>
        <w:jc w:val="both"/>
        <w:rPr>
          <w:sz w:val="28"/>
        </w:rPr>
      </w:pPr>
      <w:r>
        <w:rPr>
          <w:sz w:val="28"/>
          <w:lang w:val="en-US"/>
        </w:rPr>
        <w:t>3.1.</w:t>
      </w:r>
      <w:r w:rsidR="00BE76A4" w:rsidRPr="00BF40BF">
        <w:rPr>
          <w:sz w:val="28"/>
        </w:rPr>
        <w:t xml:space="preserve"> Định mức phân bổ chi cho các hoạt động đảm bảo xã hội cấp </w:t>
      </w:r>
      <w:r w:rsidR="00BE76A4" w:rsidRPr="00BF40BF">
        <w:rPr>
          <w:sz w:val="28"/>
          <w:lang w:val="en-US"/>
        </w:rPr>
        <w:t>xã</w:t>
      </w:r>
      <w:r w:rsidR="00BE76A4" w:rsidRPr="00BF40BF">
        <w:rPr>
          <w:sz w:val="28"/>
        </w:rPr>
        <w:t>:</w:t>
      </w:r>
    </w:p>
    <w:tbl>
      <w:tblPr>
        <w:tblW w:w="8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830"/>
        <w:gridCol w:w="4111"/>
      </w:tblGrid>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4111"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Chi hoạt động cứu trợ xã hội</w:t>
            </w:r>
          </w:p>
        </w:tc>
        <w:tc>
          <w:tcPr>
            <w:tcW w:w="4111" w:type="dxa"/>
            <w:shd w:val="clear" w:color="auto" w:fill="auto"/>
            <w:tcMar>
              <w:top w:w="0" w:type="dxa"/>
              <w:left w:w="0" w:type="dxa"/>
              <w:bottom w:w="0" w:type="dxa"/>
              <w:right w:w="0" w:type="dxa"/>
            </w:tcMar>
          </w:tcPr>
          <w:p w:rsidR="00BE76A4" w:rsidRPr="006B25C8" w:rsidRDefault="009C5F41" w:rsidP="007F6BEB">
            <w:pPr>
              <w:spacing w:before="20" w:after="20"/>
              <w:ind w:left="141" w:right="135"/>
              <w:jc w:val="both"/>
              <w:rPr>
                <w:color w:val="FF0000"/>
                <w:sz w:val="28"/>
              </w:rPr>
            </w:pPr>
            <w:r>
              <w:rPr>
                <w:color w:val="FF0000"/>
                <w:sz w:val="28"/>
                <w:lang w:val="en-US"/>
              </w:rPr>
              <w:t>20,8</w:t>
            </w:r>
            <w:r w:rsidR="00BE76A4" w:rsidRPr="006B25C8">
              <w:rPr>
                <w:color w:val="FF0000"/>
                <w:sz w:val="28"/>
              </w:rPr>
              <w:t xml:space="preserve"> triệu đồng/xã/năm</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w:t>
            </w:r>
            <w:r w:rsidRPr="00BF40BF">
              <w:rPr>
                <w:sz w:val="28"/>
              </w:rPr>
              <w:t xml:space="preserve">Chi chăm sóc các nghĩa trang liệt sỹ xã, phường, thị trấn </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2</w:t>
            </w:r>
            <w:r w:rsidR="009C5F41">
              <w:rPr>
                <w:color w:val="FF0000"/>
                <w:sz w:val="28"/>
                <w:lang w:val="en-US"/>
              </w:rPr>
              <w:t>6</w:t>
            </w:r>
            <w:r w:rsidRPr="006B25C8">
              <w:rPr>
                <w:color w:val="FF0000"/>
                <w:sz w:val="28"/>
              </w:rPr>
              <w:t xml:space="preserve"> triệu đồng/nghĩa trang</w:t>
            </w:r>
            <w:r w:rsidR="00975AAD" w:rsidRPr="006B25C8">
              <w:rPr>
                <w:color w:val="FF0000"/>
                <w:sz w:val="28"/>
                <w:lang w:val="en-US"/>
              </w:rPr>
              <w:t xml:space="preserve"> </w:t>
            </w:r>
            <w:r w:rsidR="00975AAD" w:rsidRPr="006B25C8">
              <w:rPr>
                <w:color w:val="FF0000"/>
                <w:sz w:val="28"/>
              </w:rPr>
              <w:t>liệt sỹ</w:t>
            </w:r>
          </w:p>
        </w:tc>
      </w:tr>
    </w:tbl>
    <w:p w:rsidR="00BE76A4" w:rsidRPr="00BF40BF" w:rsidRDefault="00E324C0" w:rsidP="00BE76A4">
      <w:pPr>
        <w:spacing w:before="100" w:beforeAutospacing="1" w:after="120"/>
        <w:ind w:firstLine="720"/>
        <w:jc w:val="both"/>
        <w:rPr>
          <w:sz w:val="28"/>
        </w:rPr>
      </w:pPr>
      <w:r>
        <w:rPr>
          <w:sz w:val="28"/>
          <w:lang w:val="en-US"/>
        </w:rPr>
        <w:t>3.2.</w:t>
      </w:r>
      <w:r w:rsidR="00BE76A4" w:rsidRPr="00BF40BF">
        <w:rPr>
          <w:sz w:val="28"/>
        </w:rPr>
        <w:t xml:space="preserve"> Định mức chi phân bổ theo tiêu chí bổ sung: </w:t>
      </w:r>
    </w:p>
    <w:p w:rsidR="00BE76A4" w:rsidRPr="006B25C8" w:rsidRDefault="007C1E51" w:rsidP="00BE76A4">
      <w:pPr>
        <w:spacing w:after="120"/>
        <w:ind w:firstLine="720"/>
        <w:jc w:val="both"/>
        <w:rPr>
          <w:sz w:val="28"/>
        </w:rPr>
      </w:pPr>
      <w:r>
        <w:rPr>
          <w:sz w:val="28"/>
          <w:lang w:val="en-US"/>
        </w:rPr>
        <w:t>-</w:t>
      </w:r>
      <w:r w:rsidR="00BE76A4" w:rsidRPr="006B25C8">
        <w:rPr>
          <w:sz w:val="28"/>
        </w:rPr>
        <w:t xml:space="preserve"> Chi chế độ trợ cấp hàng tháng cho cán bộ xã nghỉ việc theo quy định hiện hành</w:t>
      </w:r>
      <w:r w:rsidR="00BE76A4" w:rsidRPr="006B25C8">
        <w:rPr>
          <w:sz w:val="28"/>
          <w:lang w:val="en-US"/>
        </w:rPr>
        <w:t xml:space="preserve"> (</w:t>
      </w:r>
      <w:r w:rsidR="00BE76A4" w:rsidRPr="006B25C8">
        <w:rPr>
          <w:sz w:val="28"/>
        </w:rPr>
        <w:t>Quy định số 130-CP ngày 20/6/1975 của Hội đồng Chính phủ; Quy định số 111-HĐBT ngày 13/10/1981 của Hội đồng Bộ trưởng</w:t>
      </w:r>
      <w:r w:rsidR="00BE76A4" w:rsidRPr="006B25C8">
        <w:rPr>
          <w:sz w:val="28"/>
          <w:lang w:val="en-US"/>
        </w:rPr>
        <w:t>)</w:t>
      </w:r>
      <w:r w:rsidR="00BE76A4" w:rsidRPr="006B25C8">
        <w:rPr>
          <w:sz w:val="28"/>
        </w:rPr>
        <w:t xml:space="preserve">. </w:t>
      </w:r>
    </w:p>
    <w:p w:rsidR="00BE76A4" w:rsidRPr="006B25C8" w:rsidRDefault="007C1E51" w:rsidP="00BE76A4">
      <w:pPr>
        <w:spacing w:after="120"/>
        <w:ind w:firstLine="720"/>
        <w:jc w:val="both"/>
        <w:rPr>
          <w:spacing w:val="-6"/>
          <w:sz w:val="28"/>
          <w:lang w:val="en-US"/>
        </w:rPr>
      </w:pPr>
      <w:r>
        <w:rPr>
          <w:spacing w:val="-6"/>
          <w:sz w:val="28"/>
          <w:lang w:val="en-US"/>
        </w:rPr>
        <w:t>-</w:t>
      </w:r>
      <w:r w:rsidR="00BE76A4" w:rsidRPr="006B25C8">
        <w:rPr>
          <w:spacing w:val="-6"/>
          <w:sz w:val="28"/>
        </w:rPr>
        <w:t xml:space="preserve"> Chi tặng quà, chúc thọ, mừng thọ đối với người cao tuổi trên địa bàn tỉnh theo Nghị quyết số 47/2020/NQ-HĐND ngày 23/07/2020 của HĐND tỉnh Quảng Trị</w:t>
      </w:r>
      <w:r w:rsidR="00BE76A4" w:rsidRPr="006B25C8">
        <w:rPr>
          <w:spacing w:val="-6"/>
          <w:sz w:val="28"/>
          <w:lang w:val="en-US"/>
        </w:rPr>
        <w:t>.</w:t>
      </w:r>
    </w:p>
    <w:p w:rsidR="00BE76A4" w:rsidRPr="006B25C8" w:rsidRDefault="00BE76A4" w:rsidP="00BE76A4">
      <w:pPr>
        <w:spacing w:after="120"/>
        <w:ind w:firstLine="720"/>
        <w:jc w:val="both"/>
        <w:rPr>
          <w:b/>
          <w:sz w:val="28"/>
        </w:rPr>
      </w:pPr>
      <w:r w:rsidRPr="006B25C8">
        <w:rPr>
          <w:b/>
          <w:sz w:val="28"/>
        </w:rPr>
        <w:lastRenderedPageBreak/>
        <w:t>Điều 8. Định mức phân bổ chi quốc phòng, an ninh</w:t>
      </w:r>
    </w:p>
    <w:p w:rsidR="00BE76A4" w:rsidRPr="006B25C8" w:rsidRDefault="00BE76A4" w:rsidP="00BE76A4">
      <w:pPr>
        <w:spacing w:after="120"/>
        <w:ind w:firstLine="720"/>
        <w:jc w:val="both"/>
        <w:rPr>
          <w:b/>
          <w:sz w:val="28"/>
        </w:rPr>
      </w:pPr>
      <w:r w:rsidRPr="006B25C8">
        <w:rPr>
          <w:b/>
          <w:sz w:val="28"/>
        </w:rPr>
        <w:t>1. Cấp tỉnh</w:t>
      </w:r>
    </w:p>
    <w:p w:rsidR="009F116F" w:rsidRPr="009F116F" w:rsidRDefault="009F116F" w:rsidP="009F116F">
      <w:pPr>
        <w:spacing w:after="120"/>
        <w:ind w:firstLine="720"/>
        <w:jc w:val="both"/>
        <w:rPr>
          <w:sz w:val="28"/>
          <w:szCs w:val="28"/>
        </w:rPr>
      </w:pPr>
      <w:r w:rsidRPr="009F116F">
        <w:rPr>
          <w:sz w:val="28"/>
          <w:szCs w:val="28"/>
        </w:rPr>
        <w:t xml:space="preserve">Hàng năm căn cứ vào nhiệm vụ chi quốc phòng - an ninh của tỉnh, chế độ chính sách và khả năng cân đối ngân sách, Ủy ban nhân dân tỉnh sẽ bố trí mức chi phù hợp trình Hội đồng nhân dân tỉnh quyết định. Phạm vi hỗ trợ cho lĩnh vực quốc phòng - an ninh theo quy định Nghị định của Chính phủ </w:t>
      </w:r>
      <w:r w:rsidRPr="006B25C8">
        <w:rPr>
          <w:sz w:val="28"/>
          <w:szCs w:val="28"/>
        </w:rPr>
        <w:t xml:space="preserve">quy định về quản lý, sử dụng ngân sách </w:t>
      </w:r>
      <w:r w:rsidRPr="006B25C8">
        <w:rPr>
          <w:sz w:val="28"/>
          <w:szCs w:val="28"/>
          <w:lang w:val="en-US"/>
        </w:rPr>
        <w:t>n</w:t>
      </w:r>
      <w:r w:rsidRPr="006B25C8">
        <w:rPr>
          <w:sz w:val="28"/>
          <w:szCs w:val="28"/>
        </w:rPr>
        <w:t>hà nước đối với một số hoạt</w:t>
      </w:r>
      <w:r w:rsidRPr="006B25C8">
        <w:rPr>
          <w:sz w:val="28"/>
          <w:szCs w:val="28"/>
          <w:lang w:val="en-US"/>
        </w:rPr>
        <w:t xml:space="preserve"> </w:t>
      </w:r>
      <w:r w:rsidRPr="006B25C8">
        <w:rPr>
          <w:sz w:val="28"/>
          <w:szCs w:val="28"/>
        </w:rPr>
        <w:t xml:space="preserve">động thuộc lĩnh vực </w:t>
      </w:r>
      <w:r w:rsidRPr="006B25C8">
        <w:rPr>
          <w:sz w:val="28"/>
          <w:szCs w:val="28"/>
          <w:lang w:val="en-US"/>
        </w:rPr>
        <w:t>q</w:t>
      </w:r>
      <w:r w:rsidRPr="006B25C8">
        <w:rPr>
          <w:sz w:val="28"/>
          <w:szCs w:val="28"/>
        </w:rPr>
        <w:t xml:space="preserve">uốc phòng, </w:t>
      </w:r>
      <w:r w:rsidRPr="006B25C8">
        <w:rPr>
          <w:sz w:val="28"/>
          <w:szCs w:val="28"/>
          <w:lang w:val="en-US"/>
        </w:rPr>
        <w:t>a</w:t>
      </w:r>
      <w:r w:rsidRPr="006B25C8">
        <w:rPr>
          <w:sz w:val="28"/>
          <w:szCs w:val="28"/>
        </w:rPr>
        <w:t>n ninh</w:t>
      </w:r>
      <w:r>
        <w:rPr>
          <w:sz w:val="28"/>
          <w:szCs w:val="28"/>
          <w:lang w:val="en-US"/>
        </w:rPr>
        <w:t xml:space="preserve"> </w:t>
      </w:r>
      <w:r w:rsidRPr="009F116F">
        <w:rPr>
          <w:sz w:val="28"/>
          <w:szCs w:val="28"/>
        </w:rPr>
        <w:t xml:space="preserve">và các văn bản hướng dẫn thi hành. Đồng thời bố trí kinh phí thực hiện các Nghị quyết của Hội đồng nhân dân tỉnh, Quyết định của Ủy ban nhân dân tỉnh về hỗ trợ một số cơ chế cho các đơn vị Quân sự, </w:t>
      </w:r>
      <w:r>
        <w:rPr>
          <w:sz w:val="28"/>
          <w:szCs w:val="28"/>
          <w:lang w:val="en-US"/>
        </w:rPr>
        <w:t>C</w:t>
      </w:r>
      <w:r w:rsidRPr="009F116F">
        <w:rPr>
          <w:sz w:val="28"/>
          <w:szCs w:val="28"/>
        </w:rPr>
        <w:t>ông an</w:t>
      </w:r>
      <w:r>
        <w:rPr>
          <w:sz w:val="28"/>
          <w:szCs w:val="28"/>
          <w:lang w:val="en-US"/>
        </w:rPr>
        <w:t>, Biên phòng.</w:t>
      </w:r>
      <w:r w:rsidRPr="009F116F">
        <w:rPr>
          <w:sz w:val="28"/>
          <w:szCs w:val="28"/>
        </w:rPr>
        <w:t xml:space="preserve"> </w:t>
      </w:r>
    </w:p>
    <w:p w:rsidR="00BE76A4" w:rsidRPr="006B25C8" w:rsidRDefault="00BE76A4" w:rsidP="00BE76A4">
      <w:pPr>
        <w:spacing w:after="120"/>
        <w:ind w:firstLine="720"/>
        <w:jc w:val="both"/>
        <w:rPr>
          <w:b/>
          <w:sz w:val="28"/>
          <w:szCs w:val="28"/>
        </w:rPr>
      </w:pPr>
      <w:r w:rsidRPr="006B25C8">
        <w:rPr>
          <w:b/>
          <w:sz w:val="28"/>
          <w:szCs w:val="28"/>
        </w:rPr>
        <w:t>2. Cấp huyện</w:t>
      </w:r>
    </w:p>
    <w:tbl>
      <w:tblPr>
        <w:tblW w:w="89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830"/>
        <w:gridCol w:w="4111"/>
      </w:tblGrid>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bCs/>
                <w:sz w:val="28"/>
                <w:szCs w:val="28"/>
              </w:rPr>
              <w:t>Chỉ tiêu</w:t>
            </w:r>
          </w:p>
        </w:tc>
        <w:tc>
          <w:tcPr>
            <w:tcW w:w="4111"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1F5084" w:rsidTr="007F6BEB">
        <w:tc>
          <w:tcPr>
            <w:tcW w:w="4830" w:type="dxa"/>
            <w:shd w:val="clear" w:color="auto" w:fill="auto"/>
            <w:tcMar>
              <w:top w:w="0" w:type="dxa"/>
              <w:left w:w="0" w:type="dxa"/>
              <w:bottom w:w="0" w:type="dxa"/>
              <w:right w:w="0" w:type="dxa"/>
            </w:tcMar>
          </w:tcPr>
          <w:p w:rsidR="00BE76A4" w:rsidRPr="001F5084" w:rsidRDefault="00BE76A4" w:rsidP="007F6BEB">
            <w:pPr>
              <w:spacing w:before="20" w:after="20"/>
              <w:ind w:left="142" w:right="142"/>
              <w:jc w:val="both"/>
              <w:rPr>
                <w:b/>
                <w:sz w:val="28"/>
                <w:lang w:val="en-US"/>
              </w:rPr>
            </w:pPr>
            <w:r w:rsidRPr="001F5084">
              <w:rPr>
                <w:b/>
                <w:sz w:val="28"/>
                <w:lang w:val="en-US"/>
              </w:rPr>
              <w:t>* Chi quốc phòng:</w:t>
            </w:r>
          </w:p>
        </w:tc>
        <w:tc>
          <w:tcPr>
            <w:tcW w:w="4111" w:type="dxa"/>
            <w:shd w:val="clear" w:color="auto" w:fill="auto"/>
            <w:tcMar>
              <w:top w:w="0" w:type="dxa"/>
              <w:left w:w="0" w:type="dxa"/>
              <w:bottom w:w="0" w:type="dxa"/>
              <w:right w:w="0" w:type="dxa"/>
            </w:tcMar>
          </w:tcPr>
          <w:p w:rsidR="00BE76A4" w:rsidRPr="001F5084" w:rsidRDefault="00BE76A4" w:rsidP="007F6BEB">
            <w:pPr>
              <w:spacing w:before="20" w:after="20"/>
              <w:ind w:left="141" w:right="135"/>
              <w:jc w:val="both"/>
              <w:rPr>
                <w:b/>
                <w:color w:val="FF0000"/>
                <w:sz w:val="28"/>
              </w:rPr>
            </w:pP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Phân bổ theo địa bàn hành chính cấp xã, huyện đảo không có đơn vị hành chính cấp xã:</w:t>
            </w:r>
          </w:p>
        </w:tc>
        <w:tc>
          <w:tcPr>
            <w:tcW w:w="4111" w:type="dxa"/>
            <w:shd w:val="clear" w:color="auto" w:fill="auto"/>
            <w:tcMar>
              <w:top w:w="0" w:type="dxa"/>
              <w:left w:w="0" w:type="dxa"/>
              <w:bottom w:w="0" w:type="dxa"/>
              <w:right w:w="0" w:type="dxa"/>
            </w:tcMar>
          </w:tcPr>
          <w:p w:rsidR="00BE76A4" w:rsidRPr="001F5084" w:rsidRDefault="00BE76A4" w:rsidP="007F6BEB">
            <w:pPr>
              <w:spacing w:before="20" w:after="20"/>
              <w:ind w:left="141" w:right="135"/>
              <w:jc w:val="both"/>
              <w:rPr>
                <w:color w:val="FF0000"/>
                <w:sz w:val="28"/>
              </w:rPr>
            </w:pP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Xã, thị trấn</w:t>
            </w:r>
          </w:p>
        </w:tc>
        <w:tc>
          <w:tcPr>
            <w:tcW w:w="4111" w:type="dxa"/>
            <w:shd w:val="clear" w:color="auto" w:fill="auto"/>
            <w:tcMar>
              <w:top w:w="0" w:type="dxa"/>
              <w:left w:w="0" w:type="dxa"/>
              <w:bottom w:w="0" w:type="dxa"/>
              <w:right w:w="0" w:type="dxa"/>
            </w:tcMar>
          </w:tcPr>
          <w:p w:rsidR="00BE76A4" w:rsidRPr="006B25C8" w:rsidRDefault="009C5F41" w:rsidP="007F6BEB">
            <w:pPr>
              <w:spacing w:before="20" w:after="20"/>
              <w:ind w:left="141" w:right="135"/>
              <w:jc w:val="both"/>
              <w:rPr>
                <w:color w:val="FF0000"/>
                <w:sz w:val="28"/>
              </w:rPr>
            </w:pPr>
            <w:r>
              <w:rPr>
                <w:color w:val="FF0000"/>
                <w:sz w:val="28"/>
                <w:lang w:val="en-US"/>
              </w:rPr>
              <w:t>55</w:t>
            </w:r>
            <w:r w:rsidR="00BE76A4" w:rsidRPr="006B25C8">
              <w:rPr>
                <w:color w:val="FF0000"/>
                <w:sz w:val="28"/>
              </w:rPr>
              <w:t xml:space="preserve"> triệu đồng/xã, thị trấn/năm</w:t>
            </w:r>
          </w:p>
        </w:tc>
      </w:tr>
      <w:tr w:rsidR="00BE76A4" w:rsidRPr="00BF40BF" w:rsidTr="007F6BEB">
        <w:tc>
          <w:tcPr>
            <w:tcW w:w="4830" w:type="dxa"/>
            <w:shd w:val="clear" w:color="auto" w:fill="auto"/>
            <w:tcMar>
              <w:top w:w="0" w:type="dxa"/>
              <w:left w:w="0" w:type="dxa"/>
              <w:bottom w:w="0" w:type="dxa"/>
              <w:right w:w="0" w:type="dxa"/>
            </w:tcMar>
          </w:tcPr>
          <w:p w:rsidR="00BE76A4" w:rsidRPr="00BF40BF" w:rsidRDefault="00BE76A4" w:rsidP="007F6BEB">
            <w:pPr>
              <w:spacing w:before="20" w:after="20"/>
              <w:ind w:left="142" w:right="142"/>
              <w:jc w:val="both"/>
              <w:rPr>
                <w:sz w:val="28"/>
                <w:lang w:val="en-US"/>
              </w:rPr>
            </w:pPr>
            <w:r w:rsidRPr="00BF40BF">
              <w:rPr>
                <w:sz w:val="28"/>
                <w:lang w:val="en-US"/>
              </w:rPr>
              <w:t xml:space="preserve">  + Phường</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1</w:t>
            </w:r>
            <w:r w:rsidR="009C5F41">
              <w:rPr>
                <w:color w:val="FF0000"/>
                <w:sz w:val="28"/>
                <w:lang w:val="en-US"/>
              </w:rPr>
              <w:t>1</w:t>
            </w:r>
            <w:r w:rsidRPr="006B25C8">
              <w:rPr>
                <w:color w:val="FF0000"/>
                <w:sz w:val="28"/>
              </w:rPr>
              <w:t>0 triệu đồng/phường</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đảo Cồn Cỏ</w:t>
            </w:r>
          </w:p>
        </w:tc>
        <w:tc>
          <w:tcPr>
            <w:tcW w:w="4111" w:type="dxa"/>
            <w:shd w:val="clear" w:color="auto" w:fill="auto"/>
            <w:tcMar>
              <w:top w:w="0" w:type="dxa"/>
              <w:left w:w="0" w:type="dxa"/>
              <w:bottom w:w="0" w:type="dxa"/>
              <w:right w:w="0" w:type="dxa"/>
            </w:tcMar>
          </w:tcPr>
          <w:p w:rsidR="00BE76A4" w:rsidRPr="00766EF0" w:rsidRDefault="00BE76A4" w:rsidP="009C5F41">
            <w:pPr>
              <w:spacing w:before="20" w:after="20"/>
              <w:ind w:left="141" w:right="135"/>
              <w:jc w:val="both"/>
              <w:rPr>
                <w:color w:val="FF0000"/>
                <w:sz w:val="28"/>
                <w:lang w:val="en-US"/>
              </w:rPr>
            </w:pPr>
            <w:r w:rsidRPr="006B25C8">
              <w:rPr>
                <w:color w:val="FF0000"/>
                <w:sz w:val="28"/>
              </w:rPr>
              <w:t>1.</w:t>
            </w:r>
            <w:r w:rsidR="009C5F41">
              <w:rPr>
                <w:color w:val="FF0000"/>
                <w:sz w:val="28"/>
                <w:lang w:val="en-US"/>
              </w:rPr>
              <w:t>760</w:t>
            </w:r>
            <w:r w:rsidRPr="006B25C8">
              <w:rPr>
                <w:color w:val="FF0000"/>
                <w:sz w:val="28"/>
              </w:rPr>
              <w:t xml:space="preserve"> triệu đồng</w:t>
            </w:r>
            <w:r w:rsidR="00766EF0">
              <w:rPr>
                <w:color w:val="FF0000"/>
                <w:sz w:val="28"/>
                <w:lang w:val="en-US"/>
              </w:rPr>
              <w:t>/huyện đảo/năm</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w:t>
            </w:r>
            <w:r w:rsidRPr="006B25C8">
              <w:rPr>
                <w:sz w:val="28"/>
              </w:rPr>
              <w:t>Phân bổ theo tính chất đặc thù:</w:t>
            </w:r>
          </w:p>
        </w:tc>
        <w:tc>
          <w:tcPr>
            <w:tcW w:w="4111" w:type="dxa"/>
            <w:shd w:val="clear" w:color="auto" w:fill="auto"/>
            <w:tcMar>
              <w:top w:w="0" w:type="dxa"/>
              <w:left w:w="0" w:type="dxa"/>
              <w:bottom w:w="0" w:type="dxa"/>
              <w:right w:w="0" w:type="dxa"/>
            </w:tcMar>
          </w:tcPr>
          <w:p w:rsidR="00BE76A4" w:rsidRPr="006B25C8" w:rsidRDefault="00BE76A4" w:rsidP="007F6BEB">
            <w:pPr>
              <w:spacing w:before="20" w:after="20"/>
              <w:ind w:left="141" w:right="135"/>
              <w:jc w:val="both"/>
              <w:rPr>
                <w:color w:val="FF0000"/>
                <w:sz w:val="28"/>
              </w:rPr>
            </w:pP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có xã biên giới</w:t>
            </w:r>
          </w:p>
        </w:tc>
        <w:tc>
          <w:tcPr>
            <w:tcW w:w="4111" w:type="dxa"/>
            <w:shd w:val="clear" w:color="auto" w:fill="auto"/>
            <w:tcMar>
              <w:top w:w="0" w:type="dxa"/>
              <w:left w:w="0" w:type="dxa"/>
              <w:bottom w:w="0" w:type="dxa"/>
              <w:right w:w="0" w:type="dxa"/>
            </w:tcMar>
          </w:tcPr>
          <w:p w:rsidR="00BE76A4" w:rsidRPr="006B25C8" w:rsidRDefault="009C5F41" w:rsidP="009C5F41">
            <w:pPr>
              <w:spacing w:before="20" w:after="20"/>
              <w:ind w:left="141" w:right="135"/>
              <w:jc w:val="both"/>
              <w:rPr>
                <w:color w:val="FF0000"/>
                <w:sz w:val="28"/>
              </w:rPr>
            </w:pPr>
            <w:r>
              <w:rPr>
                <w:color w:val="FF0000"/>
                <w:sz w:val="28"/>
                <w:lang w:val="en-US"/>
              </w:rPr>
              <w:t>65</w:t>
            </w:r>
            <w:r w:rsidR="00BE76A4" w:rsidRPr="006B25C8">
              <w:rPr>
                <w:color w:val="FF0000"/>
                <w:sz w:val="28"/>
              </w:rPr>
              <w:t xml:space="preserve"> triệu đồng/xã biên giới/năm</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thị xã, thành phố có dưới 10 xã, phường, thị trấn</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3</w:t>
            </w:r>
            <w:r w:rsidR="009C5F41">
              <w:rPr>
                <w:color w:val="FF0000"/>
                <w:sz w:val="28"/>
                <w:lang w:val="en-US"/>
              </w:rPr>
              <w:t>3</w:t>
            </w:r>
            <w:r w:rsidRPr="006B25C8">
              <w:rPr>
                <w:color w:val="FF0000"/>
                <w:sz w:val="28"/>
              </w:rPr>
              <w:t>0 triệu đồng/huyện, thị xã, thành phố</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Chi hoạt động của tiểu đội dân quân thường trực</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8</w:t>
            </w:r>
            <w:r w:rsidR="009C5F41">
              <w:rPr>
                <w:color w:val="FF0000"/>
                <w:sz w:val="28"/>
                <w:lang w:val="en-US"/>
              </w:rPr>
              <w:t>8</w:t>
            </w:r>
            <w:r w:rsidRPr="006B25C8">
              <w:rPr>
                <w:color w:val="FF0000"/>
                <w:sz w:val="28"/>
              </w:rPr>
              <w:t>0 triệu đồng/ tiểu đội</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Chi hoạt động của trung đội dân quân biển</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1</w:t>
            </w:r>
            <w:r w:rsidR="009C5F41">
              <w:rPr>
                <w:color w:val="FF0000"/>
                <w:sz w:val="28"/>
                <w:lang w:val="en-US"/>
              </w:rPr>
              <w:t>1</w:t>
            </w:r>
            <w:r w:rsidRPr="006B25C8">
              <w:rPr>
                <w:color w:val="FF0000"/>
                <w:sz w:val="28"/>
              </w:rPr>
              <w:t>0 triệu đồng/trung đội</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b/>
                <w:sz w:val="28"/>
                <w:lang w:val="en-US"/>
              </w:rPr>
            </w:pPr>
            <w:r w:rsidRPr="006B25C8">
              <w:rPr>
                <w:b/>
                <w:sz w:val="28"/>
                <w:lang w:val="en-US"/>
              </w:rPr>
              <w:t>* Chi an ninh:</w:t>
            </w:r>
          </w:p>
        </w:tc>
        <w:tc>
          <w:tcPr>
            <w:tcW w:w="4111" w:type="dxa"/>
            <w:shd w:val="clear" w:color="auto" w:fill="auto"/>
            <w:tcMar>
              <w:top w:w="0" w:type="dxa"/>
              <w:left w:w="0" w:type="dxa"/>
              <w:bottom w:w="0" w:type="dxa"/>
              <w:right w:w="0" w:type="dxa"/>
            </w:tcMar>
          </w:tcPr>
          <w:p w:rsidR="00BE76A4" w:rsidRPr="006B25C8" w:rsidRDefault="00BE76A4" w:rsidP="007F6BEB">
            <w:pPr>
              <w:spacing w:before="20" w:after="20"/>
              <w:jc w:val="center"/>
              <w:rPr>
                <w:color w:val="FF0000"/>
                <w:sz w:val="28"/>
              </w:rPr>
            </w:pP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Phân bổ theo địa bàn hành chính cấp xã, huyện đảo không có đơn vị hành chính cấp xã:</w:t>
            </w:r>
          </w:p>
        </w:tc>
        <w:tc>
          <w:tcPr>
            <w:tcW w:w="4111" w:type="dxa"/>
            <w:shd w:val="clear" w:color="auto" w:fill="auto"/>
            <w:tcMar>
              <w:top w:w="0" w:type="dxa"/>
              <w:left w:w="0" w:type="dxa"/>
              <w:bottom w:w="0" w:type="dxa"/>
              <w:right w:w="0" w:type="dxa"/>
            </w:tcMar>
          </w:tcPr>
          <w:p w:rsidR="00BE76A4" w:rsidRPr="006B25C8" w:rsidRDefault="00BE76A4" w:rsidP="007F6BEB">
            <w:pPr>
              <w:spacing w:before="20" w:after="20"/>
              <w:ind w:left="141" w:right="135"/>
              <w:jc w:val="both"/>
              <w:rPr>
                <w:color w:val="FF0000"/>
                <w:sz w:val="28"/>
              </w:rPr>
            </w:pP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Xã, thị trấn</w:t>
            </w:r>
          </w:p>
        </w:tc>
        <w:tc>
          <w:tcPr>
            <w:tcW w:w="4111" w:type="dxa"/>
            <w:shd w:val="clear" w:color="auto" w:fill="auto"/>
            <w:tcMar>
              <w:top w:w="0" w:type="dxa"/>
              <w:left w:w="0" w:type="dxa"/>
              <w:bottom w:w="0" w:type="dxa"/>
              <w:right w:w="0" w:type="dxa"/>
            </w:tcMar>
          </w:tcPr>
          <w:p w:rsidR="00BE76A4" w:rsidRPr="006B25C8" w:rsidRDefault="009C5F41" w:rsidP="007F6BEB">
            <w:pPr>
              <w:spacing w:before="20" w:after="20"/>
              <w:ind w:left="141" w:right="135"/>
              <w:jc w:val="both"/>
              <w:rPr>
                <w:color w:val="FF0000"/>
                <w:sz w:val="28"/>
              </w:rPr>
            </w:pPr>
            <w:r>
              <w:rPr>
                <w:color w:val="FF0000"/>
                <w:sz w:val="28"/>
                <w:lang w:val="en-US"/>
              </w:rPr>
              <w:t>26,4</w:t>
            </w:r>
            <w:r w:rsidR="00BE76A4" w:rsidRPr="006B25C8">
              <w:rPr>
                <w:color w:val="FF0000"/>
                <w:sz w:val="28"/>
              </w:rPr>
              <w:t xml:space="preserve"> triệu đồng/xã, thị trấn/năm</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Phường</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9</w:t>
            </w:r>
            <w:r w:rsidR="009C5F41">
              <w:rPr>
                <w:color w:val="FF0000"/>
                <w:sz w:val="28"/>
                <w:lang w:val="en-US"/>
              </w:rPr>
              <w:t>9</w:t>
            </w:r>
            <w:r w:rsidRPr="006B25C8">
              <w:rPr>
                <w:color w:val="FF0000"/>
                <w:sz w:val="28"/>
              </w:rPr>
              <w:t xml:space="preserve"> triệu đồng/phường/năm</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đảo Cồn Cỏ</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6</w:t>
            </w:r>
            <w:r w:rsidR="009C5F41">
              <w:rPr>
                <w:color w:val="FF0000"/>
                <w:sz w:val="28"/>
                <w:lang w:val="en-US"/>
              </w:rPr>
              <w:t>6</w:t>
            </w:r>
            <w:r w:rsidRPr="006B25C8">
              <w:rPr>
                <w:color w:val="FF0000"/>
                <w:sz w:val="28"/>
              </w:rPr>
              <w:t>0 triệu đồng</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w:t>
            </w:r>
            <w:r w:rsidRPr="006B25C8">
              <w:rPr>
                <w:sz w:val="28"/>
              </w:rPr>
              <w:t>Phân bổ theo tính chất đặc thù:</w:t>
            </w:r>
          </w:p>
        </w:tc>
        <w:tc>
          <w:tcPr>
            <w:tcW w:w="4111" w:type="dxa"/>
            <w:shd w:val="clear" w:color="auto" w:fill="auto"/>
            <w:tcMar>
              <w:top w:w="0" w:type="dxa"/>
              <w:left w:w="0" w:type="dxa"/>
              <w:bottom w:w="0" w:type="dxa"/>
              <w:right w:w="0" w:type="dxa"/>
            </w:tcMar>
          </w:tcPr>
          <w:p w:rsidR="00BE76A4" w:rsidRPr="006B25C8" w:rsidRDefault="00BE76A4" w:rsidP="007F6BEB">
            <w:pPr>
              <w:spacing w:before="20" w:after="20"/>
              <w:ind w:left="141" w:right="135"/>
              <w:jc w:val="both"/>
              <w:rPr>
                <w:color w:val="FF0000"/>
                <w:sz w:val="28"/>
              </w:rPr>
            </w:pP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có xã biên giới</w:t>
            </w:r>
          </w:p>
        </w:tc>
        <w:tc>
          <w:tcPr>
            <w:tcW w:w="4111" w:type="dxa"/>
            <w:shd w:val="clear" w:color="auto" w:fill="auto"/>
            <w:tcMar>
              <w:top w:w="0" w:type="dxa"/>
              <w:left w:w="0" w:type="dxa"/>
              <w:bottom w:w="0" w:type="dxa"/>
              <w:right w:w="0" w:type="dxa"/>
            </w:tcMar>
          </w:tcPr>
          <w:p w:rsidR="00BE76A4" w:rsidRPr="006B25C8" w:rsidRDefault="009C5F41" w:rsidP="007F6BEB">
            <w:pPr>
              <w:spacing w:before="20" w:after="20"/>
              <w:ind w:left="141" w:right="135"/>
              <w:jc w:val="both"/>
              <w:rPr>
                <w:color w:val="FF0000"/>
                <w:sz w:val="28"/>
              </w:rPr>
            </w:pPr>
            <w:r>
              <w:rPr>
                <w:color w:val="FF0000"/>
                <w:sz w:val="28"/>
                <w:lang w:val="en-US"/>
              </w:rPr>
              <w:t>49</w:t>
            </w:r>
            <w:r w:rsidR="00BE76A4" w:rsidRPr="006B25C8">
              <w:rPr>
                <w:color w:val="FF0000"/>
                <w:sz w:val="28"/>
              </w:rPr>
              <w:t xml:space="preserve"> triệu đồng/xã biên giới/năm</w:t>
            </w:r>
          </w:p>
        </w:tc>
      </w:tr>
      <w:tr w:rsidR="006B25C8" w:rsidRPr="006B25C8" w:rsidTr="007F6BEB">
        <w:tc>
          <w:tcPr>
            <w:tcW w:w="4830" w:type="dxa"/>
            <w:shd w:val="clear" w:color="auto" w:fill="auto"/>
            <w:tcMar>
              <w:top w:w="0" w:type="dxa"/>
              <w:left w:w="0" w:type="dxa"/>
              <w:bottom w:w="0" w:type="dxa"/>
              <w:right w:w="0" w:type="dxa"/>
            </w:tcMar>
          </w:tcPr>
          <w:p w:rsidR="00BE76A4" w:rsidRPr="006B25C8" w:rsidRDefault="00BE76A4" w:rsidP="007F6BEB">
            <w:pPr>
              <w:spacing w:before="20" w:after="20"/>
              <w:ind w:left="142" w:right="142"/>
              <w:jc w:val="both"/>
              <w:rPr>
                <w:sz w:val="28"/>
                <w:lang w:val="en-US"/>
              </w:rPr>
            </w:pPr>
            <w:r w:rsidRPr="006B25C8">
              <w:rPr>
                <w:sz w:val="28"/>
                <w:lang w:val="en-US"/>
              </w:rPr>
              <w:t xml:space="preserve">  + Huyện, thị xã, thành phố có dưới 10 xã, phường, thị trấn</w:t>
            </w:r>
          </w:p>
        </w:tc>
        <w:tc>
          <w:tcPr>
            <w:tcW w:w="4111" w:type="dxa"/>
            <w:shd w:val="clear" w:color="auto" w:fill="auto"/>
            <w:tcMar>
              <w:top w:w="0" w:type="dxa"/>
              <w:left w:w="0" w:type="dxa"/>
              <w:bottom w:w="0" w:type="dxa"/>
              <w:right w:w="0" w:type="dxa"/>
            </w:tcMar>
          </w:tcPr>
          <w:p w:rsidR="00BE76A4" w:rsidRPr="006B25C8" w:rsidRDefault="00BE76A4" w:rsidP="009C5F41">
            <w:pPr>
              <w:spacing w:before="20" w:after="20"/>
              <w:ind w:left="141" w:right="135"/>
              <w:jc w:val="both"/>
              <w:rPr>
                <w:color w:val="FF0000"/>
                <w:sz w:val="28"/>
              </w:rPr>
            </w:pPr>
            <w:r w:rsidRPr="006B25C8">
              <w:rPr>
                <w:color w:val="FF0000"/>
                <w:sz w:val="28"/>
              </w:rPr>
              <w:t>1</w:t>
            </w:r>
            <w:r w:rsidR="009C5F41">
              <w:rPr>
                <w:color w:val="FF0000"/>
                <w:sz w:val="28"/>
                <w:lang w:val="en-US"/>
              </w:rPr>
              <w:t>1</w:t>
            </w:r>
            <w:r w:rsidRPr="006B25C8">
              <w:rPr>
                <w:color w:val="FF0000"/>
                <w:sz w:val="28"/>
              </w:rPr>
              <w:t>0 triệu đồng/huyện, thị xã, thành phố.</w:t>
            </w:r>
          </w:p>
        </w:tc>
      </w:tr>
    </w:tbl>
    <w:p w:rsidR="00BE76A4" w:rsidRPr="006B25C8" w:rsidRDefault="00BE76A4" w:rsidP="00BE76A4">
      <w:pPr>
        <w:spacing w:before="100" w:beforeAutospacing="1" w:after="120"/>
        <w:ind w:firstLine="720"/>
        <w:jc w:val="both"/>
        <w:rPr>
          <w:b/>
          <w:sz w:val="28"/>
        </w:rPr>
      </w:pPr>
      <w:r w:rsidRPr="006B25C8">
        <w:rPr>
          <w:b/>
          <w:sz w:val="28"/>
        </w:rPr>
        <w:lastRenderedPageBreak/>
        <w:t>3. Cấp xã</w:t>
      </w:r>
    </w:p>
    <w:p w:rsidR="00BE76A4" w:rsidRPr="00BF40BF" w:rsidRDefault="00BE76A4" w:rsidP="00BF053C">
      <w:pPr>
        <w:spacing w:after="120"/>
        <w:ind w:firstLine="720"/>
        <w:jc w:val="both"/>
        <w:rPr>
          <w:color w:val="0000CC"/>
          <w:sz w:val="28"/>
          <w:lang w:val="en-US"/>
        </w:rPr>
      </w:pPr>
      <w:r w:rsidRPr="006B25C8">
        <w:rPr>
          <w:sz w:val="28"/>
          <w:lang w:val="en-US"/>
        </w:rPr>
        <w:t xml:space="preserve">3.1. </w:t>
      </w:r>
      <w:r w:rsidRPr="006B25C8">
        <w:rPr>
          <w:sz w:val="28"/>
        </w:rPr>
        <w:t>Định m</w:t>
      </w:r>
      <w:r w:rsidRPr="00BF40BF">
        <w:rPr>
          <w:sz w:val="28"/>
        </w:rPr>
        <w:t xml:space="preserve">ức phân bổ chi cho các hoạt động </w:t>
      </w:r>
      <w:r w:rsidRPr="00BF40BF">
        <w:rPr>
          <w:sz w:val="28"/>
          <w:lang w:val="en-US"/>
        </w:rPr>
        <w:t>quốc phòng, an ninh:</w:t>
      </w:r>
    </w:p>
    <w:tbl>
      <w:tblPr>
        <w:tblW w:w="9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113"/>
        <w:gridCol w:w="3969"/>
      </w:tblGrid>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jc w:val="center"/>
              <w:rPr>
                <w:sz w:val="28"/>
              </w:rPr>
            </w:pPr>
            <w:r w:rsidRPr="004A2AA9">
              <w:rPr>
                <w:b/>
                <w:bCs/>
                <w:sz w:val="28"/>
                <w:szCs w:val="28"/>
              </w:rPr>
              <w:t>Chỉ tiêu</w:t>
            </w:r>
          </w:p>
        </w:tc>
        <w:tc>
          <w:tcPr>
            <w:tcW w:w="3969" w:type="dxa"/>
            <w:shd w:val="clear" w:color="auto" w:fill="auto"/>
            <w:tcMar>
              <w:top w:w="0" w:type="dxa"/>
              <w:left w:w="0" w:type="dxa"/>
              <w:bottom w:w="0" w:type="dxa"/>
              <w:right w:w="0" w:type="dxa"/>
            </w:tcMar>
          </w:tcPr>
          <w:p w:rsidR="00BE76A4" w:rsidRPr="00BF40BF" w:rsidRDefault="00BE76A4" w:rsidP="007F6BEB">
            <w:pPr>
              <w:spacing w:before="20" w:after="20"/>
              <w:jc w:val="center"/>
              <w:rPr>
                <w:color w:val="FF0000"/>
                <w:sz w:val="28"/>
              </w:rPr>
            </w:pPr>
            <w:r w:rsidRPr="00BF40BF">
              <w:rPr>
                <w:b/>
                <w:sz w:val="28"/>
                <w:szCs w:val="28"/>
                <w:lang w:val="en-US"/>
              </w:rPr>
              <w:t>Định mức phân bổ</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b/>
                <w:sz w:val="28"/>
                <w:lang w:val="en-US"/>
              </w:rPr>
            </w:pPr>
            <w:r w:rsidRPr="004A2AA9">
              <w:rPr>
                <w:b/>
                <w:sz w:val="28"/>
                <w:lang w:val="en-US"/>
              </w:rPr>
              <w:t>* Chi quốc phòng:</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b/>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Phân bổ theo địa bàn hành chính cấp xã:</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Xã, thị trấn</w:t>
            </w:r>
          </w:p>
        </w:tc>
        <w:tc>
          <w:tcPr>
            <w:tcW w:w="3969" w:type="dxa"/>
            <w:shd w:val="clear" w:color="auto" w:fill="auto"/>
            <w:tcMar>
              <w:top w:w="0" w:type="dxa"/>
              <w:left w:w="0" w:type="dxa"/>
              <w:bottom w:w="0" w:type="dxa"/>
              <w:right w:w="0" w:type="dxa"/>
            </w:tcMar>
          </w:tcPr>
          <w:p w:rsidR="00BE76A4" w:rsidRPr="004A2AA9" w:rsidRDefault="00BE76A4" w:rsidP="009C5F41">
            <w:pPr>
              <w:spacing w:before="20" w:after="20"/>
              <w:ind w:left="141" w:right="135"/>
              <w:jc w:val="both"/>
              <w:rPr>
                <w:color w:val="FF0000"/>
                <w:sz w:val="28"/>
              </w:rPr>
            </w:pPr>
            <w:r w:rsidRPr="004A2AA9">
              <w:rPr>
                <w:color w:val="FF0000"/>
                <w:sz w:val="28"/>
              </w:rPr>
              <w:t>2</w:t>
            </w:r>
            <w:r w:rsidR="009C5F41">
              <w:rPr>
                <w:color w:val="FF0000"/>
                <w:sz w:val="28"/>
                <w:lang w:val="en-US"/>
              </w:rPr>
              <w:t>2</w:t>
            </w:r>
            <w:r w:rsidRPr="004A2AA9">
              <w:rPr>
                <w:color w:val="FF0000"/>
                <w:sz w:val="28"/>
              </w:rPr>
              <w:t>0 triệu đồng/xã, thị trấn/năm</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Phường</w:t>
            </w:r>
          </w:p>
        </w:tc>
        <w:tc>
          <w:tcPr>
            <w:tcW w:w="3969" w:type="dxa"/>
            <w:shd w:val="clear" w:color="auto" w:fill="auto"/>
            <w:tcMar>
              <w:top w:w="0" w:type="dxa"/>
              <w:left w:w="0" w:type="dxa"/>
              <w:bottom w:w="0" w:type="dxa"/>
              <w:right w:w="0" w:type="dxa"/>
            </w:tcMar>
          </w:tcPr>
          <w:p w:rsidR="00BE76A4" w:rsidRPr="004A2AA9" w:rsidRDefault="00BE76A4" w:rsidP="009C5F41">
            <w:pPr>
              <w:spacing w:before="20" w:after="20"/>
              <w:ind w:left="141" w:right="135"/>
              <w:jc w:val="both"/>
              <w:rPr>
                <w:color w:val="FF0000"/>
                <w:sz w:val="28"/>
              </w:rPr>
            </w:pPr>
            <w:r w:rsidRPr="004A2AA9">
              <w:rPr>
                <w:color w:val="FF0000"/>
                <w:sz w:val="28"/>
              </w:rPr>
              <w:t>2</w:t>
            </w:r>
            <w:r w:rsidR="009C5F41">
              <w:rPr>
                <w:color w:val="FF0000"/>
                <w:sz w:val="28"/>
                <w:lang w:val="en-US"/>
              </w:rPr>
              <w:t>7</w:t>
            </w:r>
            <w:r w:rsidRPr="004A2AA9">
              <w:rPr>
                <w:color w:val="FF0000"/>
                <w:sz w:val="28"/>
              </w:rPr>
              <w:t>5 triệu đồng/phường</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w:t>
            </w:r>
            <w:r w:rsidRPr="004A2AA9">
              <w:rPr>
                <w:sz w:val="28"/>
              </w:rPr>
              <w:t>Phân bổ theo tính chất đặc thù:</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w:t>
            </w:r>
            <w:r w:rsidRPr="004A2AA9">
              <w:rPr>
                <w:sz w:val="28"/>
              </w:rPr>
              <w:t xml:space="preserve">Đối với các xã biên giới giáp Lào được phân bổ thêm </w:t>
            </w:r>
          </w:p>
        </w:tc>
        <w:tc>
          <w:tcPr>
            <w:tcW w:w="3969" w:type="dxa"/>
            <w:shd w:val="clear" w:color="auto" w:fill="auto"/>
            <w:tcMar>
              <w:top w:w="0" w:type="dxa"/>
              <w:left w:w="0" w:type="dxa"/>
              <w:bottom w:w="0" w:type="dxa"/>
              <w:right w:w="0" w:type="dxa"/>
            </w:tcMar>
          </w:tcPr>
          <w:p w:rsidR="00BE76A4" w:rsidRPr="004A2AA9" w:rsidRDefault="00BE76A4" w:rsidP="009C5F41">
            <w:pPr>
              <w:spacing w:before="20" w:after="20"/>
              <w:ind w:left="141" w:right="135"/>
              <w:jc w:val="both"/>
              <w:rPr>
                <w:color w:val="FF0000"/>
                <w:sz w:val="28"/>
              </w:rPr>
            </w:pPr>
            <w:r w:rsidRPr="004A2AA9">
              <w:rPr>
                <w:color w:val="FF0000"/>
                <w:sz w:val="28"/>
              </w:rPr>
              <w:t>1</w:t>
            </w:r>
            <w:r w:rsidR="009C5F41">
              <w:rPr>
                <w:color w:val="FF0000"/>
                <w:sz w:val="28"/>
                <w:lang w:val="en-US"/>
              </w:rPr>
              <w:t>69</w:t>
            </w:r>
            <w:r w:rsidRPr="004A2AA9">
              <w:rPr>
                <w:color w:val="FF0000"/>
                <w:sz w:val="28"/>
              </w:rPr>
              <w:t xml:space="preserve"> triệu đồng/xã/năm</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b/>
                <w:sz w:val="28"/>
                <w:lang w:val="en-US"/>
              </w:rPr>
            </w:pPr>
            <w:r w:rsidRPr="004A2AA9">
              <w:rPr>
                <w:b/>
                <w:sz w:val="28"/>
                <w:lang w:val="en-US"/>
              </w:rPr>
              <w:t>* Chi an ninh:</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b/>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Phân bổ theo địa bàn hành chính cấp xã:</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Xã, thị trấn</w:t>
            </w:r>
          </w:p>
        </w:tc>
        <w:tc>
          <w:tcPr>
            <w:tcW w:w="3969" w:type="dxa"/>
            <w:shd w:val="clear" w:color="auto" w:fill="auto"/>
            <w:tcMar>
              <w:top w:w="0" w:type="dxa"/>
              <w:left w:w="0" w:type="dxa"/>
              <w:bottom w:w="0" w:type="dxa"/>
              <w:right w:w="0" w:type="dxa"/>
            </w:tcMar>
          </w:tcPr>
          <w:p w:rsidR="00BE76A4" w:rsidRPr="004A2AA9" w:rsidRDefault="00BE76A4" w:rsidP="009C5F41">
            <w:pPr>
              <w:spacing w:before="20" w:after="20"/>
              <w:ind w:left="141" w:right="135"/>
              <w:jc w:val="both"/>
              <w:rPr>
                <w:color w:val="FF0000"/>
                <w:sz w:val="28"/>
              </w:rPr>
            </w:pPr>
            <w:r w:rsidRPr="004A2AA9">
              <w:rPr>
                <w:color w:val="FF0000"/>
                <w:sz w:val="28"/>
              </w:rPr>
              <w:t>2</w:t>
            </w:r>
            <w:r w:rsidR="009C5F41">
              <w:rPr>
                <w:color w:val="FF0000"/>
                <w:sz w:val="28"/>
                <w:lang w:val="en-US"/>
              </w:rPr>
              <w:t>8</w:t>
            </w:r>
            <w:r w:rsidRPr="004A2AA9">
              <w:rPr>
                <w:color w:val="FF0000"/>
                <w:sz w:val="28"/>
              </w:rPr>
              <w:t xml:space="preserve"> triệu đồng/xã, thị trấn/năm</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Phường</w:t>
            </w:r>
          </w:p>
        </w:tc>
        <w:tc>
          <w:tcPr>
            <w:tcW w:w="3969" w:type="dxa"/>
            <w:shd w:val="clear" w:color="auto" w:fill="auto"/>
            <w:tcMar>
              <w:top w:w="0" w:type="dxa"/>
              <w:left w:w="0" w:type="dxa"/>
              <w:bottom w:w="0" w:type="dxa"/>
              <w:right w:w="0" w:type="dxa"/>
            </w:tcMar>
          </w:tcPr>
          <w:p w:rsidR="00BE76A4" w:rsidRPr="004A2AA9" w:rsidRDefault="009C5F41" w:rsidP="007F6BEB">
            <w:pPr>
              <w:spacing w:before="20" w:after="20"/>
              <w:ind w:left="141" w:right="135"/>
              <w:jc w:val="both"/>
              <w:rPr>
                <w:color w:val="FF0000"/>
                <w:sz w:val="28"/>
              </w:rPr>
            </w:pPr>
            <w:r>
              <w:rPr>
                <w:color w:val="FF0000"/>
                <w:sz w:val="28"/>
              </w:rPr>
              <w:t>55</w:t>
            </w:r>
            <w:r w:rsidR="00BE76A4" w:rsidRPr="004A2AA9">
              <w:rPr>
                <w:color w:val="FF0000"/>
                <w:sz w:val="28"/>
              </w:rPr>
              <w:t xml:space="preserve"> triệu đồng/phường/năm</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w:t>
            </w:r>
            <w:r w:rsidRPr="004A2AA9">
              <w:rPr>
                <w:sz w:val="28"/>
              </w:rPr>
              <w:t>Phân bổ theo tính chất đặc thù:</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color w:val="FF0000"/>
                <w:sz w:val="28"/>
              </w:rPr>
            </w:pP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BE76A4" w:rsidP="007F6BEB">
            <w:pPr>
              <w:spacing w:before="20" w:after="20"/>
              <w:ind w:left="142" w:right="142"/>
              <w:jc w:val="both"/>
              <w:rPr>
                <w:sz w:val="28"/>
                <w:lang w:val="en-US"/>
              </w:rPr>
            </w:pPr>
            <w:r w:rsidRPr="004A2AA9">
              <w:rPr>
                <w:sz w:val="28"/>
                <w:lang w:val="en-US"/>
              </w:rPr>
              <w:t xml:space="preserve">  + </w:t>
            </w:r>
            <w:r w:rsidRPr="004A2AA9">
              <w:rPr>
                <w:sz w:val="28"/>
              </w:rPr>
              <w:t xml:space="preserve">Đối với các xã biên giới giáp Lào được phân bổ thêm </w:t>
            </w:r>
          </w:p>
        </w:tc>
        <w:tc>
          <w:tcPr>
            <w:tcW w:w="3969" w:type="dxa"/>
            <w:shd w:val="clear" w:color="auto" w:fill="auto"/>
            <w:tcMar>
              <w:top w:w="0" w:type="dxa"/>
              <w:left w:w="0" w:type="dxa"/>
              <w:bottom w:w="0" w:type="dxa"/>
              <w:right w:w="0" w:type="dxa"/>
            </w:tcMar>
          </w:tcPr>
          <w:p w:rsidR="00BE76A4" w:rsidRPr="004A2AA9" w:rsidRDefault="009C5F41" w:rsidP="007F6BEB">
            <w:pPr>
              <w:spacing w:before="20" w:after="20"/>
              <w:ind w:left="141" w:right="135"/>
              <w:jc w:val="both"/>
              <w:rPr>
                <w:color w:val="FF0000"/>
                <w:sz w:val="28"/>
              </w:rPr>
            </w:pPr>
            <w:r>
              <w:rPr>
                <w:color w:val="FF0000"/>
                <w:sz w:val="28"/>
              </w:rPr>
              <w:t>8</w:t>
            </w:r>
            <w:r w:rsidR="00BE76A4" w:rsidRPr="004A2AA9">
              <w:rPr>
                <w:color w:val="FF0000"/>
                <w:sz w:val="28"/>
              </w:rPr>
              <w:t>5 triệu đồng/xã</w:t>
            </w:r>
          </w:p>
        </w:tc>
      </w:tr>
      <w:tr w:rsidR="00BE76A4" w:rsidRPr="00BF40BF" w:rsidTr="007F6BEB">
        <w:tc>
          <w:tcPr>
            <w:tcW w:w="5113" w:type="dxa"/>
            <w:shd w:val="clear" w:color="auto" w:fill="auto"/>
            <w:tcMar>
              <w:top w:w="0" w:type="dxa"/>
              <w:left w:w="0" w:type="dxa"/>
              <w:bottom w:w="0" w:type="dxa"/>
              <w:right w:w="0" w:type="dxa"/>
            </w:tcMar>
          </w:tcPr>
          <w:p w:rsidR="00BE76A4" w:rsidRPr="004A2AA9" w:rsidRDefault="00DB5C88" w:rsidP="007F6BEB">
            <w:pPr>
              <w:spacing w:before="20" w:after="20"/>
              <w:ind w:left="142" w:right="142"/>
              <w:jc w:val="both"/>
              <w:rPr>
                <w:sz w:val="28"/>
                <w:lang w:val="en-US"/>
              </w:rPr>
            </w:pPr>
            <w:r>
              <w:rPr>
                <w:sz w:val="28"/>
                <w:lang w:val="en-US"/>
              </w:rPr>
              <w:t xml:space="preserve">  +</w:t>
            </w:r>
            <w:r w:rsidR="00BE76A4" w:rsidRPr="004A2AA9">
              <w:rPr>
                <w:sz w:val="28"/>
                <w:lang w:val="en-US"/>
              </w:rPr>
              <w:t xml:space="preserve"> </w:t>
            </w:r>
            <w:r w:rsidR="00BE76A4" w:rsidRPr="004A2AA9">
              <w:rPr>
                <w:sz w:val="28"/>
              </w:rPr>
              <w:t>Riêng thành phố Đông Hà bổ sung thêm</w:t>
            </w:r>
          </w:p>
        </w:tc>
        <w:tc>
          <w:tcPr>
            <w:tcW w:w="3969" w:type="dxa"/>
            <w:shd w:val="clear" w:color="auto" w:fill="auto"/>
            <w:tcMar>
              <w:top w:w="0" w:type="dxa"/>
              <w:left w:w="0" w:type="dxa"/>
              <w:bottom w:w="0" w:type="dxa"/>
              <w:right w:w="0" w:type="dxa"/>
            </w:tcMar>
          </w:tcPr>
          <w:p w:rsidR="00BE76A4" w:rsidRPr="004A2AA9" w:rsidRDefault="00BE76A4" w:rsidP="007F6BEB">
            <w:pPr>
              <w:spacing w:before="20" w:after="20"/>
              <w:ind w:left="141" w:right="135"/>
              <w:jc w:val="both"/>
              <w:rPr>
                <w:color w:val="FF0000"/>
                <w:sz w:val="28"/>
              </w:rPr>
            </w:pPr>
            <w:r w:rsidRPr="004A2AA9">
              <w:rPr>
                <w:color w:val="FF0000"/>
                <w:sz w:val="28"/>
              </w:rPr>
              <w:t>400 triệu đồng/năm</w:t>
            </w:r>
          </w:p>
        </w:tc>
      </w:tr>
    </w:tbl>
    <w:p w:rsidR="00870568" w:rsidRPr="004134B8" w:rsidRDefault="00BE76A4" w:rsidP="00CE075A">
      <w:pPr>
        <w:spacing w:before="100" w:beforeAutospacing="1" w:after="60"/>
        <w:ind w:firstLine="720"/>
        <w:jc w:val="both"/>
        <w:rPr>
          <w:color w:val="FF0000"/>
          <w:sz w:val="28"/>
        </w:rPr>
      </w:pPr>
      <w:r w:rsidRPr="004134B8">
        <w:rPr>
          <w:color w:val="FF0000"/>
          <w:sz w:val="28"/>
        </w:rPr>
        <w:t xml:space="preserve">Định mức chi trên bao gồm cả mức chi tăng để thực hiện các nhiệm vụ quốc phòng - an ninh, tăng chi triển khai thực hiện các nhiệm vụ theo theo Luật Dân quân tự vệ (chưa bao gồm </w:t>
      </w:r>
      <w:r w:rsidR="00870568" w:rsidRPr="004134B8">
        <w:rPr>
          <w:color w:val="FF0000"/>
          <w:sz w:val="28"/>
        </w:rPr>
        <w:t>chế độ phụ cấp theo Luật Dân quân tự vệ</w:t>
      </w:r>
      <w:r w:rsidR="00F67675" w:rsidRPr="004134B8">
        <w:rPr>
          <w:color w:val="FF0000"/>
          <w:sz w:val="28"/>
        </w:rPr>
        <w:t>).</w:t>
      </w:r>
      <w:r w:rsidR="00870568" w:rsidRPr="004134B8">
        <w:rPr>
          <w:color w:val="FF0000"/>
          <w:sz w:val="28"/>
        </w:rPr>
        <w:t xml:space="preserve"> </w:t>
      </w:r>
    </w:p>
    <w:p w:rsidR="00CB0D48" w:rsidRPr="00CB0D48" w:rsidRDefault="00BE76A4" w:rsidP="00CE075A">
      <w:pPr>
        <w:spacing w:after="60"/>
        <w:ind w:firstLine="720"/>
        <w:jc w:val="both"/>
        <w:rPr>
          <w:sz w:val="28"/>
        </w:rPr>
      </w:pPr>
      <w:r w:rsidRPr="00CB0D48">
        <w:rPr>
          <w:sz w:val="28"/>
        </w:rPr>
        <w:t>3.2.</w:t>
      </w:r>
      <w:r w:rsidRPr="00902AA5">
        <w:rPr>
          <w:sz w:val="28"/>
        </w:rPr>
        <w:t xml:space="preserve"> Ngoài ra, phân bổ thêm kinh phí thực hiện chế độ </w:t>
      </w:r>
      <w:r w:rsidR="00CB0D48" w:rsidRPr="00CB0D48">
        <w:rPr>
          <w:sz w:val="28"/>
        </w:rPr>
        <w:t>phụ cấp đối với lực lượng Bảo vệ dân phố theo Nghị quyết của HĐND tỉnh, Quyết định của UBND về mức phụ cấp đối với lực lượng Bảo vệ dân phố</w:t>
      </w:r>
      <w:r w:rsidR="00CB0D48">
        <w:rPr>
          <w:sz w:val="28"/>
          <w:lang w:val="en-US"/>
        </w:rPr>
        <w:t xml:space="preserve"> </w:t>
      </w:r>
      <w:r w:rsidR="00CB0D48" w:rsidRPr="00902AA5">
        <w:rPr>
          <w:sz w:val="28"/>
        </w:rPr>
        <w:t>ở phường, thị trấn</w:t>
      </w:r>
      <w:r w:rsidR="00CB0D48" w:rsidRPr="00CB0D48">
        <w:rPr>
          <w:sz w:val="28"/>
        </w:rPr>
        <w:t>.</w:t>
      </w:r>
    </w:p>
    <w:p w:rsidR="00BE76A4" w:rsidRPr="00902AA5" w:rsidRDefault="00BE76A4" w:rsidP="00CE075A">
      <w:pPr>
        <w:spacing w:after="60"/>
        <w:ind w:firstLine="720"/>
        <w:jc w:val="both"/>
        <w:rPr>
          <w:b/>
          <w:sz w:val="28"/>
        </w:rPr>
      </w:pPr>
      <w:r w:rsidRPr="00902AA5">
        <w:rPr>
          <w:b/>
          <w:sz w:val="28"/>
        </w:rPr>
        <w:t>Điều 9. Định mức phân bổ chi sự nghiệp kinh tế</w:t>
      </w:r>
    </w:p>
    <w:p w:rsidR="00BE76A4" w:rsidRPr="00902AA5" w:rsidRDefault="00BE76A4" w:rsidP="00CE075A">
      <w:pPr>
        <w:spacing w:after="60"/>
        <w:ind w:firstLine="720"/>
        <w:jc w:val="both"/>
        <w:rPr>
          <w:b/>
          <w:sz w:val="28"/>
        </w:rPr>
      </w:pPr>
      <w:r w:rsidRPr="00902AA5">
        <w:rPr>
          <w:b/>
          <w:sz w:val="28"/>
        </w:rPr>
        <w:t>1. Cấp tỉnh</w:t>
      </w:r>
    </w:p>
    <w:p w:rsidR="00BE76A4" w:rsidRPr="00461CD9" w:rsidRDefault="00BE76A4" w:rsidP="00CE075A">
      <w:pPr>
        <w:spacing w:after="60"/>
        <w:ind w:firstLine="720"/>
        <w:jc w:val="both"/>
        <w:rPr>
          <w:color w:val="FF0000"/>
          <w:sz w:val="28"/>
        </w:rPr>
      </w:pPr>
      <w:r w:rsidRPr="00902AA5">
        <w:rPr>
          <w:sz w:val="28"/>
        </w:rPr>
        <w:t xml:space="preserve">- Đối với các đơn vị sự nghiệp có thu: Chi bộ máy của các đơn vị sự nghiệp </w:t>
      </w:r>
      <w:r w:rsidRPr="00461CD9">
        <w:rPr>
          <w:sz w:val="28"/>
        </w:rPr>
        <w:t xml:space="preserve">kinh tế được áp dụng định mức tại tại </w:t>
      </w:r>
      <w:r w:rsidRPr="00461CD9">
        <w:rPr>
          <w:color w:val="FF0000"/>
          <w:sz w:val="28"/>
          <w:lang w:val="en-US"/>
        </w:rPr>
        <w:t xml:space="preserve">khoản 2 </w:t>
      </w:r>
      <w:r w:rsidR="00604A2C" w:rsidRPr="00461CD9">
        <w:rPr>
          <w:color w:val="FF0000"/>
          <w:sz w:val="28"/>
          <w:lang w:val="en-US"/>
        </w:rPr>
        <w:t>Điều 5</w:t>
      </w:r>
      <w:r w:rsidRPr="00461CD9">
        <w:rPr>
          <w:color w:val="FF0000"/>
          <w:sz w:val="28"/>
          <w:lang w:val="en-US"/>
        </w:rPr>
        <w:t xml:space="preserve"> Quy định này.</w:t>
      </w:r>
    </w:p>
    <w:p w:rsidR="00BE76A4" w:rsidRPr="00902AA5" w:rsidRDefault="00BE76A4" w:rsidP="00CE075A">
      <w:pPr>
        <w:spacing w:after="60"/>
        <w:ind w:firstLine="720"/>
        <w:jc w:val="both"/>
        <w:rPr>
          <w:sz w:val="28"/>
          <w:lang w:val="en-US"/>
        </w:rPr>
      </w:pPr>
      <w:r w:rsidRPr="00902AA5">
        <w:rPr>
          <w:sz w:val="28"/>
        </w:rPr>
        <w:t>- Kinh phí thực hiện miễn thu thủy lợi phí, hỗ trợ bảo vệ phát triển đất trồng lúa bố trí bằng kinh phí Trung ương giao</w:t>
      </w:r>
      <w:r w:rsidRPr="00902AA5">
        <w:rPr>
          <w:sz w:val="28"/>
          <w:lang w:val="en-US"/>
        </w:rPr>
        <w:t>.</w:t>
      </w:r>
    </w:p>
    <w:p w:rsidR="00BE76A4" w:rsidRPr="00902AA5" w:rsidRDefault="00BE76A4" w:rsidP="00CE075A">
      <w:pPr>
        <w:spacing w:after="60"/>
        <w:ind w:firstLine="720"/>
        <w:jc w:val="both"/>
        <w:rPr>
          <w:sz w:val="28"/>
        </w:rPr>
      </w:pPr>
      <w:r w:rsidRPr="00902AA5">
        <w:rPr>
          <w:sz w:val="28"/>
        </w:rPr>
        <w:t>- Sở Tài chính phối hợp các Sở chủ quản căn cứ nhiệm vụ được giao, tình hình thực tế và khả năng cân đối ngân sách địa phương báo cáo UBND tỉnh trình HĐND tỉnh quyết định trong phương án phân bổ ngân sách tỉnh:</w:t>
      </w:r>
    </w:p>
    <w:p w:rsidR="00BE76A4" w:rsidRPr="00902AA5" w:rsidRDefault="00BE76A4" w:rsidP="00CE075A">
      <w:pPr>
        <w:spacing w:after="60"/>
        <w:ind w:firstLine="720"/>
        <w:jc w:val="both"/>
        <w:rPr>
          <w:sz w:val="28"/>
          <w:lang w:val="en-US"/>
        </w:rPr>
      </w:pPr>
      <w:r w:rsidRPr="00902AA5">
        <w:rPr>
          <w:sz w:val="28"/>
        </w:rPr>
        <w:t>+ Đối với các đơn vị thực hiện khoán khối lượng công việc: Mức kinh phí ngân sách cấp chi thường xuyên được giao ổn định và xem xét điều chỉnh bổ sung trong các trường hợp được cấp có thẩm quyền giao tăng nhiệm vụ</w:t>
      </w:r>
      <w:r w:rsidRPr="00902AA5">
        <w:rPr>
          <w:sz w:val="28"/>
          <w:lang w:val="en-US"/>
        </w:rPr>
        <w:t>.</w:t>
      </w:r>
    </w:p>
    <w:p w:rsidR="00BE76A4" w:rsidRPr="00902AA5" w:rsidRDefault="00BE76A4" w:rsidP="00CE075A">
      <w:pPr>
        <w:spacing w:after="60"/>
        <w:ind w:firstLine="720"/>
        <w:jc w:val="both"/>
        <w:rPr>
          <w:sz w:val="28"/>
        </w:rPr>
      </w:pPr>
      <w:r w:rsidRPr="00902AA5">
        <w:rPr>
          <w:sz w:val="28"/>
        </w:rPr>
        <w:lastRenderedPageBreak/>
        <w:t>+ Đối với các đơn vị sự nghiệp khác: Mức kinh phí ngân sách cấp chi thường xuyên được xác định trên cơ sở nhiệm vụ được giao và khả năng cân đối của ngân sách địa phương.</w:t>
      </w:r>
    </w:p>
    <w:p w:rsidR="00BE76A4" w:rsidRPr="00047741" w:rsidRDefault="00BE76A4" w:rsidP="00CE075A">
      <w:pPr>
        <w:spacing w:after="60"/>
        <w:ind w:firstLine="720"/>
        <w:jc w:val="both"/>
        <w:rPr>
          <w:b/>
          <w:sz w:val="28"/>
        </w:rPr>
      </w:pPr>
      <w:r w:rsidRPr="00047741">
        <w:rPr>
          <w:b/>
          <w:sz w:val="28"/>
        </w:rPr>
        <w:t>2. Cấp huyện</w:t>
      </w:r>
    </w:p>
    <w:p w:rsidR="0040513C" w:rsidRPr="0040513C" w:rsidRDefault="003E47DC" w:rsidP="003E47DC">
      <w:pPr>
        <w:spacing w:after="60"/>
        <w:ind w:firstLine="720"/>
        <w:jc w:val="both"/>
        <w:rPr>
          <w:color w:val="FF0000"/>
          <w:sz w:val="28"/>
        </w:rPr>
      </w:pPr>
      <w:r w:rsidRPr="0040513C">
        <w:rPr>
          <w:color w:val="FF0000"/>
          <w:sz w:val="28"/>
        </w:rPr>
        <w:t xml:space="preserve">a) Chi sự nghiệp kinh tế tăng 10% so dự toán chi sự nghiệp kinh tế </w:t>
      </w:r>
      <w:r w:rsidRPr="0040513C">
        <w:rPr>
          <w:color w:val="FF0000"/>
          <w:sz w:val="28"/>
          <w:lang w:val="en-US"/>
        </w:rPr>
        <w:t xml:space="preserve">(kinh phí hoạt động sự nghiệp) </w:t>
      </w:r>
      <w:r w:rsidRPr="0040513C">
        <w:rPr>
          <w:color w:val="FF0000"/>
          <w:sz w:val="28"/>
        </w:rPr>
        <w:t xml:space="preserve">năm 2021. Định mức đã bao gồm kinh phí thực hiện các nhiệm vụ chi theo quy định hiện hành (đã bao gồm hỗ trợ </w:t>
      </w:r>
      <w:r w:rsidR="0040513C" w:rsidRPr="0040513C">
        <w:rPr>
          <w:color w:val="FF0000"/>
          <w:sz w:val="28"/>
        </w:rPr>
        <w:t>kinh phí lập, thẩm định, công bố và điều chỉnh quy hoạch có tính chất kỹ thuật, chuyên ngành</w:t>
      </w:r>
      <w:r w:rsidR="0040513C" w:rsidRPr="0040513C">
        <w:rPr>
          <w:color w:val="FF0000"/>
          <w:sz w:val="28"/>
          <w:lang w:val="en-US"/>
        </w:rPr>
        <w:t xml:space="preserve"> </w:t>
      </w:r>
      <w:r w:rsidR="0040513C" w:rsidRPr="0040513C">
        <w:rPr>
          <w:color w:val="FF0000"/>
          <w:sz w:val="28"/>
        </w:rPr>
        <w:t>theo quy định của pháp luật về ngân sách nhà nước</w:t>
      </w:r>
      <w:r w:rsidR="0040513C" w:rsidRPr="0040513C">
        <w:rPr>
          <w:color w:val="FF0000"/>
          <w:sz w:val="28"/>
          <w:lang w:val="en-US"/>
        </w:rPr>
        <w:t>).</w:t>
      </w:r>
    </w:p>
    <w:p w:rsidR="003E47DC" w:rsidRPr="003E47DC" w:rsidRDefault="003E47DC" w:rsidP="003E47DC">
      <w:pPr>
        <w:spacing w:after="60"/>
        <w:ind w:firstLine="720"/>
        <w:jc w:val="both"/>
        <w:rPr>
          <w:sz w:val="28"/>
        </w:rPr>
      </w:pPr>
      <w:r w:rsidRPr="003E47DC">
        <w:rPr>
          <w:sz w:val="28"/>
        </w:rPr>
        <w:t>b) Ngoài ra, phân bổ thêm căn cứ trên tiêu chí đô thị như sau:</w:t>
      </w:r>
    </w:p>
    <w:p w:rsidR="003E47DC" w:rsidRPr="003E47DC" w:rsidRDefault="003E47DC" w:rsidP="003E47DC">
      <w:pPr>
        <w:spacing w:after="60"/>
        <w:ind w:firstLine="720"/>
        <w:jc w:val="both"/>
        <w:rPr>
          <w:sz w:val="28"/>
        </w:rPr>
      </w:pPr>
      <w:r w:rsidRPr="003E47DC">
        <w:rPr>
          <w:sz w:val="28"/>
        </w:rPr>
        <w:t>+ Đô thị loại III: 1.500 triệu đồng/đô thị.</w:t>
      </w:r>
    </w:p>
    <w:p w:rsidR="003E47DC" w:rsidRPr="003E47DC" w:rsidRDefault="003E47DC" w:rsidP="003E47DC">
      <w:pPr>
        <w:spacing w:after="60"/>
        <w:ind w:firstLine="720"/>
        <w:jc w:val="both"/>
        <w:rPr>
          <w:sz w:val="28"/>
        </w:rPr>
      </w:pPr>
      <w:r w:rsidRPr="003E47DC">
        <w:rPr>
          <w:sz w:val="28"/>
        </w:rPr>
        <w:t>+ Đô thị loại IV: 800 triệu đồng/đô thị.</w:t>
      </w:r>
    </w:p>
    <w:p w:rsidR="003E47DC" w:rsidRPr="003E47DC" w:rsidRDefault="003E47DC" w:rsidP="003E47DC">
      <w:pPr>
        <w:spacing w:after="60"/>
        <w:ind w:firstLine="720"/>
        <w:jc w:val="both"/>
        <w:rPr>
          <w:sz w:val="28"/>
        </w:rPr>
      </w:pPr>
      <w:r w:rsidRPr="003E47DC">
        <w:rPr>
          <w:sz w:val="28"/>
        </w:rPr>
        <w:t>+ Đô thị loại IV: 500 triệu đồng/đô thị.</w:t>
      </w:r>
    </w:p>
    <w:p w:rsidR="00BE76A4" w:rsidRPr="00047741" w:rsidRDefault="00BE76A4" w:rsidP="003E47DC">
      <w:pPr>
        <w:spacing w:after="60"/>
        <w:ind w:firstLine="720"/>
        <w:jc w:val="both"/>
        <w:rPr>
          <w:b/>
          <w:sz w:val="28"/>
        </w:rPr>
      </w:pPr>
      <w:r w:rsidRPr="00047741">
        <w:rPr>
          <w:b/>
          <w:sz w:val="28"/>
        </w:rPr>
        <w:t>3. Cấp xã</w:t>
      </w:r>
    </w:p>
    <w:p w:rsidR="00BE76A4" w:rsidRPr="009C5F41" w:rsidRDefault="005B268A" w:rsidP="00CE075A">
      <w:pPr>
        <w:spacing w:after="60"/>
        <w:ind w:firstLine="720"/>
        <w:jc w:val="both"/>
        <w:rPr>
          <w:sz w:val="28"/>
          <w:lang w:val="en-US"/>
        </w:rPr>
      </w:pPr>
      <w:r w:rsidRPr="009C5F41">
        <w:rPr>
          <w:sz w:val="28"/>
          <w:lang w:val="en-US"/>
        </w:rPr>
        <w:t>Hỗ trợ b</w:t>
      </w:r>
      <w:r w:rsidR="00BE76A4" w:rsidRPr="009C5F41">
        <w:rPr>
          <w:sz w:val="28"/>
        </w:rPr>
        <w:t xml:space="preserve">ình quân: </w:t>
      </w:r>
      <w:r w:rsidR="009C5F41" w:rsidRPr="009C5F41">
        <w:rPr>
          <w:sz w:val="28"/>
          <w:lang w:val="en-US"/>
        </w:rPr>
        <w:t>36,3</w:t>
      </w:r>
      <w:r w:rsidR="00BE76A4" w:rsidRPr="009C5F41">
        <w:rPr>
          <w:sz w:val="28"/>
        </w:rPr>
        <w:t xml:space="preserve"> triệu đồng/xã, thị trấn/năm</w:t>
      </w:r>
      <w:r w:rsidR="00BE76A4" w:rsidRPr="009C5F41">
        <w:rPr>
          <w:sz w:val="28"/>
          <w:lang w:val="en-US"/>
        </w:rPr>
        <w:t>;</w:t>
      </w:r>
      <w:r w:rsidR="002632E7">
        <w:rPr>
          <w:sz w:val="28"/>
          <w:lang w:val="en-US"/>
        </w:rPr>
        <w:t xml:space="preserve"> </w:t>
      </w:r>
      <w:r w:rsidR="009C5F41" w:rsidRPr="009C5F41">
        <w:rPr>
          <w:sz w:val="28"/>
          <w:lang w:val="en-US"/>
        </w:rPr>
        <w:t>51,7</w:t>
      </w:r>
      <w:r w:rsidR="00BE76A4" w:rsidRPr="009C5F41">
        <w:rPr>
          <w:sz w:val="28"/>
        </w:rPr>
        <w:t xml:space="preserve"> triệu đồng/phường/năm</w:t>
      </w:r>
      <w:r w:rsidR="00BE76A4" w:rsidRPr="009C5F41">
        <w:rPr>
          <w:sz w:val="28"/>
          <w:lang w:val="en-US"/>
        </w:rPr>
        <w:t>.</w:t>
      </w:r>
    </w:p>
    <w:p w:rsidR="00BE76A4" w:rsidRPr="00BF40BF" w:rsidRDefault="00BE76A4" w:rsidP="00CE075A">
      <w:pPr>
        <w:spacing w:after="60"/>
        <w:ind w:firstLine="720"/>
        <w:jc w:val="both"/>
        <w:rPr>
          <w:b/>
          <w:sz w:val="28"/>
        </w:rPr>
      </w:pPr>
      <w:r w:rsidRPr="00BF40BF">
        <w:rPr>
          <w:b/>
          <w:sz w:val="28"/>
          <w:lang w:val="en-US"/>
        </w:rPr>
        <w:t xml:space="preserve">Điều 10. </w:t>
      </w:r>
      <w:r w:rsidRPr="00BF40BF">
        <w:rPr>
          <w:b/>
          <w:sz w:val="28"/>
        </w:rPr>
        <w:t>Định mức phân bổ chi sự nghiệp môi trường</w:t>
      </w:r>
    </w:p>
    <w:p w:rsidR="004418F6" w:rsidRDefault="00BE76A4" w:rsidP="00CE075A">
      <w:pPr>
        <w:spacing w:after="60"/>
        <w:ind w:firstLine="720"/>
        <w:jc w:val="both"/>
        <w:rPr>
          <w:color w:val="FF0000"/>
          <w:sz w:val="28"/>
          <w:lang w:val="en-US"/>
        </w:rPr>
      </w:pPr>
      <w:r w:rsidRPr="00BF40BF">
        <w:rPr>
          <w:sz w:val="28"/>
        </w:rPr>
        <w:t>Căn cứ dự toán Chính phủ</w:t>
      </w:r>
      <w:r w:rsidRPr="00BF40BF">
        <w:rPr>
          <w:sz w:val="28"/>
          <w:lang w:val="en-US"/>
        </w:rPr>
        <w:t>, Bộ Tài chính</w:t>
      </w:r>
      <w:r w:rsidRPr="00BF40BF">
        <w:rPr>
          <w:sz w:val="28"/>
        </w:rPr>
        <w:t xml:space="preserve"> giao</w:t>
      </w:r>
      <w:r w:rsidRPr="00BF40BF">
        <w:rPr>
          <w:sz w:val="28"/>
          <w:lang w:val="en-US"/>
        </w:rPr>
        <w:t xml:space="preserve"> hàng năm;</w:t>
      </w:r>
      <w:r w:rsidRPr="00BF40BF">
        <w:rPr>
          <w:sz w:val="28"/>
        </w:rPr>
        <w:t xml:space="preserve"> UBND tỉnh trình HĐND tỉnh quyết định</w:t>
      </w:r>
      <w:r w:rsidRPr="00BF40BF">
        <w:rPr>
          <w:sz w:val="28"/>
          <w:szCs w:val="28"/>
          <w:lang w:val="en-US"/>
        </w:rPr>
        <w:t xml:space="preserve"> k</w:t>
      </w:r>
      <w:r w:rsidRPr="00BF40BF">
        <w:rPr>
          <w:sz w:val="28"/>
        </w:rPr>
        <w:t xml:space="preserve">hông thấp hơn định mức Trung ương giao, bao gồm kinh phí thực hiện các nhiệm vụ chi theo quy định hiện hành. Sở Tài chính phối hợp các cơ quan, đơn vị căn cứ nhiệm vụ được giao, tình hình thực tế và khả năng cân đối ngân sách địa phương báo cáo UBND tỉnh trình HĐND tỉnh quyết định trong phương án phân bổ </w:t>
      </w:r>
      <w:r w:rsidRPr="00BF40BF">
        <w:rPr>
          <w:sz w:val="28"/>
          <w:lang w:val="en-US"/>
        </w:rPr>
        <w:t>dự toán ngân sách hàng năm</w:t>
      </w:r>
      <w:r w:rsidR="00293F82">
        <w:rPr>
          <w:sz w:val="28"/>
          <w:lang w:val="en-US"/>
        </w:rPr>
        <w:t>.</w:t>
      </w:r>
      <w:r w:rsidRPr="00BF40BF">
        <w:rPr>
          <w:sz w:val="28"/>
          <w:lang w:val="en-US"/>
        </w:rPr>
        <w:t xml:space="preserve"> </w:t>
      </w:r>
      <w:r w:rsidRPr="00BF40BF">
        <w:rPr>
          <w:color w:val="FF0000"/>
          <w:sz w:val="28"/>
          <w:lang w:val="en-US"/>
        </w:rPr>
        <w:t>Trong đó:</w:t>
      </w:r>
      <w:r w:rsidR="00702FB4">
        <w:rPr>
          <w:color w:val="FF0000"/>
          <w:sz w:val="28"/>
          <w:lang w:val="en-US"/>
        </w:rPr>
        <w:t xml:space="preserve"> </w:t>
      </w:r>
    </w:p>
    <w:p w:rsidR="00BE76A4" w:rsidRDefault="00BE76A4" w:rsidP="00CE075A">
      <w:pPr>
        <w:spacing w:after="60"/>
        <w:ind w:firstLine="720"/>
        <w:jc w:val="both"/>
        <w:rPr>
          <w:color w:val="FF0000"/>
          <w:sz w:val="28"/>
          <w:lang w:val="en-US"/>
        </w:rPr>
      </w:pPr>
      <w:r w:rsidRPr="00BF40BF">
        <w:rPr>
          <w:color w:val="FF0000"/>
          <w:sz w:val="28"/>
          <w:lang w:val="en-US"/>
        </w:rPr>
        <w:t xml:space="preserve">Hỗ trợ chi thực hiện nhiệm vụ </w:t>
      </w:r>
      <w:r w:rsidRPr="00BF40BF">
        <w:rPr>
          <w:color w:val="FF0000"/>
          <w:sz w:val="28"/>
          <w:szCs w:val="28"/>
        </w:rPr>
        <w:t>bảo vệ môi trường trên địa bàn</w:t>
      </w:r>
      <w:r w:rsidRPr="00BF40BF">
        <w:rPr>
          <w:color w:val="FF0000"/>
          <w:sz w:val="28"/>
          <w:szCs w:val="28"/>
          <w:lang w:val="en-US"/>
        </w:rPr>
        <w:t xml:space="preserve"> xã, phường, thị trấn: </w:t>
      </w:r>
      <w:r w:rsidR="00604A2C">
        <w:rPr>
          <w:color w:val="FF0000"/>
          <w:sz w:val="28"/>
          <w:szCs w:val="28"/>
          <w:lang w:val="en-US"/>
        </w:rPr>
        <w:t>20</w:t>
      </w:r>
      <w:r w:rsidRPr="00BF40BF">
        <w:rPr>
          <w:color w:val="FF0000"/>
          <w:sz w:val="28"/>
          <w:szCs w:val="28"/>
          <w:lang w:val="en-US"/>
        </w:rPr>
        <w:t xml:space="preserve"> triệu đồng/</w:t>
      </w:r>
      <w:r w:rsidRPr="00BF40BF">
        <w:rPr>
          <w:color w:val="FF0000"/>
          <w:sz w:val="28"/>
          <w:lang w:val="en-US"/>
        </w:rPr>
        <w:t>xã, phường, thị trấn/năm.</w:t>
      </w:r>
    </w:p>
    <w:p w:rsidR="00BE76A4" w:rsidRPr="00ED7970" w:rsidRDefault="00BE76A4" w:rsidP="00CE075A">
      <w:pPr>
        <w:spacing w:after="60"/>
        <w:ind w:firstLine="720"/>
        <w:jc w:val="both"/>
        <w:rPr>
          <w:b/>
          <w:sz w:val="28"/>
        </w:rPr>
      </w:pPr>
      <w:r w:rsidRPr="00ED7970">
        <w:rPr>
          <w:b/>
          <w:sz w:val="28"/>
        </w:rPr>
        <w:t>Điều 11. Định mức phân bổ chi khác</w:t>
      </w:r>
    </w:p>
    <w:p w:rsidR="00BE76A4" w:rsidRPr="00F159A2" w:rsidRDefault="00BE76A4" w:rsidP="00CE075A">
      <w:pPr>
        <w:spacing w:after="60"/>
        <w:ind w:firstLine="720"/>
        <w:jc w:val="both"/>
        <w:rPr>
          <w:sz w:val="28"/>
        </w:rPr>
      </w:pPr>
      <w:r w:rsidRPr="00F159A2">
        <w:rPr>
          <w:rStyle w:val="fontstyle01"/>
          <w:rFonts w:eastAsia="SimSun"/>
          <w:color w:val="auto"/>
          <w:lang w:val="en-US"/>
        </w:rPr>
        <w:t xml:space="preserve">1. </w:t>
      </w:r>
      <w:r w:rsidRPr="00F159A2">
        <w:rPr>
          <w:rStyle w:val="fontstyle01"/>
          <w:rFonts w:eastAsia="SimSun"/>
          <w:color w:val="auto"/>
        </w:rPr>
        <w:t>Phân bổ chi thường xuyên khác của ngân sách cấp tỉnh căn cứ khả năng</w:t>
      </w:r>
      <w:r w:rsidRPr="00F159A2">
        <w:rPr>
          <w:sz w:val="28"/>
          <w:szCs w:val="28"/>
        </w:rPr>
        <w:br/>
      </w:r>
      <w:r w:rsidRPr="00F159A2">
        <w:rPr>
          <w:rStyle w:val="fontstyle01"/>
          <w:rFonts w:eastAsia="SimSun"/>
          <w:color w:val="auto"/>
        </w:rPr>
        <w:t xml:space="preserve">nguồn ngân sách, </w:t>
      </w:r>
      <w:r w:rsidRPr="00F159A2">
        <w:rPr>
          <w:rStyle w:val="fontstyle01"/>
          <w:rFonts w:eastAsia="SimSun"/>
          <w:color w:val="auto"/>
          <w:lang w:val="en-US"/>
        </w:rPr>
        <w:t>UBND</w:t>
      </w:r>
      <w:r w:rsidRPr="00F159A2">
        <w:rPr>
          <w:rStyle w:val="fontstyle01"/>
          <w:rFonts w:eastAsia="SimSun"/>
          <w:color w:val="auto"/>
        </w:rPr>
        <w:t xml:space="preserve"> tỉnh </w:t>
      </w:r>
      <w:r w:rsidR="00D31109">
        <w:rPr>
          <w:rStyle w:val="fontstyle01"/>
          <w:rFonts w:eastAsia="SimSun"/>
          <w:color w:val="auto"/>
          <w:lang w:val="en-US"/>
        </w:rPr>
        <w:t xml:space="preserve">trình HĐND tỉnh </w:t>
      </w:r>
      <w:r w:rsidRPr="00F159A2">
        <w:rPr>
          <w:rStyle w:val="fontstyle01"/>
          <w:rFonts w:eastAsia="SimSun"/>
          <w:color w:val="auto"/>
        </w:rPr>
        <w:t>quyết định.</w:t>
      </w:r>
      <w:r w:rsidRPr="00F159A2">
        <w:t xml:space="preserve"> </w:t>
      </w:r>
    </w:p>
    <w:p w:rsidR="00BE76A4" w:rsidRPr="00F159A2" w:rsidRDefault="00BE76A4" w:rsidP="00CE075A">
      <w:pPr>
        <w:spacing w:after="60"/>
        <w:ind w:firstLine="720"/>
        <w:jc w:val="both"/>
        <w:rPr>
          <w:color w:val="FF0000"/>
          <w:sz w:val="28"/>
          <w:szCs w:val="28"/>
          <w:lang w:eastAsia="en-US"/>
        </w:rPr>
      </w:pPr>
      <w:r w:rsidRPr="00F159A2">
        <w:rPr>
          <w:color w:val="FF0000"/>
          <w:sz w:val="28"/>
          <w:lang w:val="en-US"/>
        </w:rPr>
        <w:t xml:space="preserve">2. </w:t>
      </w:r>
      <w:r w:rsidRPr="00F159A2">
        <w:rPr>
          <w:color w:val="FF0000"/>
          <w:sz w:val="28"/>
        </w:rPr>
        <w:t xml:space="preserve">Các cấp ngân sách địa phương: </w:t>
      </w:r>
      <w:r w:rsidRPr="00F159A2">
        <w:rPr>
          <w:color w:val="FF0000"/>
          <w:sz w:val="28"/>
          <w:lang w:val="en-US"/>
        </w:rPr>
        <w:t>P</w:t>
      </w:r>
      <w:r w:rsidRPr="00F159A2">
        <w:rPr>
          <w:color w:val="FF0000"/>
          <w:sz w:val="28"/>
        </w:rPr>
        <w:t>hân bổ theo tỷ trọng bằng 0,5% tổng các khoản chi thường xuyên đã tính được theo mức phân bổ dự toán ngân sách</w:t>
      </w:r>
      <w:r w:rsidRPr="00F159A2">
        <w:rPr>
          <w:color w:val="FF0000"/>
          <w:sz w:val="28"/>
          <w:lang w:val="en-US"/>
        </w:rPr>
        <w:t xml:space="preserve"> (</w:t>
      </w:r>
      <w:r w:rsidRPr="00F159A2">
        <w:rPr>
          <w:color w:val="FF0000"/>
          <w:sz w:val="28"/>
          <w:szCs w:val="28"/>
          <w:lang w:eastAsia="en-US"/>
        </w:rPr>
        <w:t>theo định mức phân bổ từ</w:t>
      </w:r>
      <w:r w:rsidRPr="00F159A2">
        <w:rPr>
          <w:color w:val="FF0000"/>
          <w:sz w:val="28"/>
          <w:szCs w:val="28"/>
          <w:lang w:val="en-US" w:eastAsia="en-US"/>
        </w:rPr>
        <w:t xml:space="preserve"> Điều </w:t>
      </w:r>
      <w:r w:rsidR="00B73003">
        <w:rPr>
          <w:color w:val="FF0000"/>
          <w:sz w:val="28"/>
          <w:szCs w:val="28"/>
          <w:lang w:val="en-US" w:eastAsia="en-US"/>
        </w:rPr>
        <w:t>3</w:t>
      </w:r>
      <w:r w:rsidRPr="00F159A2">
        <w:rPr>
          <w:color w:val="FF0000"/>
          <w:spacing w:val="-2"/>
          <w:sz w:val="28"/>
          <w:szCs w:val="28"/>
          <w:lang w:eastAsia="en-US"/>
        </w:rPr>
        <w:t xml:space="preserve"> </w:t>
      </w:r>
      <w:r w:rsidRPr="00F159A2">
        <w:rPr>
          <w:color w:val="FF0000"/>
          <w:sz w:val="28"/>
          <w:szCs w:val="28"/>
          <w:lang w:eastAsia="en-US"/>
        </w:rPr>
        <w:t xml:space="preserve">đến </w:t>
      </w:r>
      <w:r w:rsidRPr="00F159A2">
        <w:rPr>
          <w:color w:val="FF0000"/>
          <w:sz w:val="28"/>
          <w:szCs w:val="28"/>
          <w:lang w:val="en-US" w:eastAsia="en-US"/>
        </w:rPr>
        <w:t xml:space="preserve">Điều </w:t>
      </w:r>
      <w:r w:rsidR="00B73003">
        <w:rPr>
          <w:color w:val="FF0000"/>
          <w:sz w:val="28"/>
          <w:szCs w:val="28"/>
          <w:lang w:val="en-US" w:eastAsia="en-US"/>
        </w:rPr>
        <w:t>11</w:t>
      </w:r>
      <w:r w:rsidRPr="00F159A2">
        <w:rPr>
          <w:color w:val="FF0000"/>
          <w:sz w:val="28"/>
          <w:szCs w:val="28"/>
          <w:lang w:val="en-US" w:eastAsia="en-US"/>
        </w:rPr>
        <w:t xml:space="preserve"> </w:t>
      </w:r>
      <w:r w:rsidRPr="00F159A2">
        <w:rPr>
          <w:color w:val="FF0000"/>
          <w:sz w:val="28"/>
          <w:szCs w:val="28"/>
          <w:lang w:val="en-GB" w:eastAsia="en-US"/>
        </w:rPr>
        <w:t xml:space="preserve">của </w:t>
      </w:r>
      <w:r w:rsidRPr="00F159A2">
        <w:rPr>
          <w:color w:val="FF0000"/>
          <w:sz w:val="28"/>
          <w:szCs w:val="28"/>
          <w:lang w:val="en-US" w:eastAsia="en-US"/>
        </w:rPr>
        <w:t>Quy định</w:t>
      </w:r>
      <w:r w:rsidRPr="00F159A2">
        <w:rPr>
          <w:color w:val="FF0000"/>
          <w:sz w:val="28"/>
          <w:szCs w:val="28"/>
          <w:lang w:eastAsia="en-US"/>
        </w:rPr>
        <w:t xml:space="preserve"> này).</w:t>
      </w:r>
    </w:p>
    <w:p w:rsidR="00BE76A4" w:rsidRPr="00ED7970" w:rsidRDefault="00BE76A4" w:rsidP="00CE075A">
      <w:pPr>
        <w:spacing w:after="60"/>
        <w:ind w:firstLine="720"/>
        <w:jc w:val="both"/>
        <w:rPr>
          <w:b/>
          <w:sz w:val="28"/>
        </w:rPr>
      </w:pPr>
      <w:r w:rsidRPr="00ED7970">
        <w:rPr>
          <w:b/>
          <w:sz w:val="28"/>
          <w:lang w:val="en-US"/>
        </w:rPr>
        <w:t xml:space="preserve">Điều 12. </w:t>
      </w:r>
      <w:r w:rsidRPr="00ED7970">
        <w:rPr>
          <w:b/>
          <w:sz w:val="28"/>
        </w:rPr>
        <w:t>Dự phòng ngân sách</w:t>
      </w:r>
    </w:p>
    <w:p w:rsidR="00710054" w:rsidRPr="00710054" w:rsidRDefault="00F159A2" w:rsidP="00CE075A">
      <w:pPr>
        <w:spacing w:after="60"/>
        <w:ind w:firstLine="720"/>
        <w:jc w:val="both"/>
        <w:rPr>
          <w:sz w:val="28"/>
          <w:lang w:val="en-US"/>
        </w:rPr>
      </w:pPr>
      <w:r>
        <w:rPr>
          <w:sz w:val="28"/>
          <w:lang w:val="en-US"/>
        </w:rPr>
        <w:t>1.</w:t>
      </w:r>
      <w:r w:rsidR="00BE76A4" w:rsidRPr="00ED7970">
        <w:rPr>
          <w:sz w:val="28"/>
          <w:lang w:val="en-US"/>
        </w:rPr>
        <w:t xml:space="preserve"> Tổng nguồn dự phòng </w:t>
      </w:r>
      <w:r w:rsidR="006B0BDF">
        <w:rPr>
          <w:sz w:val="28"/>
          <w:lang w:val="en-US"/>
        </w:rPr>
        <w:t>NSĐP</w:t>
      </w:r>
      <w:r w:rsidR="00BE76A4" w:rsidRPr="00ED7970">
        <w:rPr>
          <w:sz w:val="28"/>
          <w:lang w:val="en-US"/>
        </w:rPr>
        <w:t xml:space="preserve"> tối thiểu không thấp hơn tổng nguồn dự phòng Bộ Tài chính giao hàng năm</w:t>
      </w:r>
      <w:r w:rsidR="00710054">
        <w:rPr>
          <w:sz w:val="28"/>
          <w:lang w:val="en-US"/>
        </w:rPr>
        <w:t xml:space="preserve"> (b</w:t>
      </w:r>
      <w:r w:rsidR="00710054" w:rsidRPr="00080E52">
        <w:rPr>
          <w:sz w:val="28"/>
          <w:lang w:val="en-US"/>
        </w:rPr>
        <w:t>ố trí từ 2-4% tổng chi ngân sách các cấp)</w:t>
      </w:r>
      <w:r w:rsidR="00080E52" w:rsidRPr="00080E52">
        <w:rPr>
          <w:sz w:val="28"/>
          <w:lang w:val="en-US"/>
        </w:rPr>
        <w:t>.</w:t>
      </w:r>
    </w:p>
    <w:p w:rsidR="00CA0048" w:rsidRDefault="00CA0048" w:rsidP="00CE075A">
      <w:pPr>
        <w:spacing w:after="60"/>
        <w:ind w:firstLine="720"/>
        <w:jc w:val="both"/>
        <w:rPr>
          <w:sz w:val="28"/>
          <w:lang w:val="en-US"/>
        </w:rPr>
      </w:pPr>
      <w:r>
        <w:rPr>
          <w:sz w:val="28"/>
          <w:lang w:val="en-US"/>
        </w:rPr>
        <w:t xml:space="preserve">2. </w:t>
      </w:r>
      <w:r w:rsidRPr="00CA0048">
        <w:rPr>
          <w:sz w:val="28"/>
          <w:lang w:val="en-US"/>
        </w:rPr>
        <w:t xml:space="preserve">Dự phòng </w:t>
      </w:r>
      <w:r>
        <w:rPr>
          <w:sz w:val="28"/>
          <w:lang w:val="en-US"/>
        </w:rPr>
        <w:t xml:space="preserve">ngân sách </w:t>
      </w:r>
      <w:r w:rsidRPr="00CA0048">
        <w:rPr>
          <w:sz w:val="28"/>
          <w:lang w:val="en-US"/>
        </w:rPr>
        <w:t xml:space="preserve">của từng huyện, thành phố, thị xã làm cơ sở tính định mức là 2% tổng chi cân đối </w:t>
      </w:r>
      <w:r w:rsidR="006B0BDF">
        <w:rPr>
          <w:sz w:val="28"/>
          <w:lang w:val="en-US"/>
        </w:rPr>
        <w:t>NSĐP</w:t>
      </w:r>
      <w:r w:rsidRPr="00CA0048">
        <w:rPr>
          <w:sz w:val="28"/>
          <w:lang w:val="en-US"/>
        </w:rPr>
        <w:t xml:space="preserve">. </w:t>
      </w:r>
    </w:p>
    <w:p w:rsidR="00017A23" w:rsidRPr="00ED7970" w:rsidRDefault="00017A23" w:rsidP="00CE075A">
      <w:pPr>
        <w:spacing w:after="60"/>
        <w:ind w:firstLine="720"/>
        <w:jc w:val="both"/>
        <w:rPr>
          <w:sz w:val="28"/>
          <w:lang w:val="en-US"/>
        </w:rPr>
      </w:pPr>
      <w:r>
        <w:rPr>
          <w:sz w:val="28"/>
          <w:lang w:val="en-US"/>
        </w:rPr>
        <w:t>3.</w:t>
      </w:r>
      <w:r w:rsidRPr="00ED7970">
        <w:rPr>
          <w:sz w:val="28"/>
          <w:lang w:val="en-US"/>
        </w:rPr>
        <w:t xml:space="preserve"> Căn cứ vào khả năng </w:t>
      </w:r>
      <w:r w:rsidRPr="00017A23">
        <w:rPr>
          <w:sz w:val="28"/>
          <w:lang w:val="en-US"/>
        </w:rPr>
        <w:t xml:space="preserve">cân đối </w:t>
      </w:r>
      <w:r w:rsidR="007F5BF8">
        <w:rPr>
          <w:sz w:val="28"/>
          <w:lang w:val="en-US"/>
        </w:rPr>
        <w:t xml:space="preserve">NSĐP </w:t>
      </w:r>
      <w:r w:rsidRPr="00017A23">
        <w:rPr>
          <w:sz w:val="28"/>
          <w:lang w:val="en-US"/>
        </w:rPr>
        <w:t>và</w:t>
      </w:r>
      <w:r w:rsidRPr="00ED7970">
        <w:rPr>
          <w:sz w:val="28"/>
          <w:lang w:val="en-US"/>
        </w:rPr>
        <w:t xml:space="preserve"> </w:t>
      </w:r>
      <w:r w:rsidRPr="00017A23">
        <w:rPr>
          <w:sz w:val="28"/>
          <w:lang w:val="en-US"/>
        </w:rPr>
        <w:t xml:space="preserve">tình hình thực tế, các huyện, thành phố, thị xã chủ động bố trí dự phòng </w:t>
      </w:r>
      <w:r w:rsidR="007F5BF8">
        <w:rPr>
          <w:sz w:val="28"/>
          <w:lang w:val="en-US"/>
        </w:rPr>
        <w:t xml:space="preserve">NSĐP </w:t>
      </w:r>
      <w:r w:rsidRPr="00017A23">
        <w:rPr>
          <w:sz w:val="28"/>
          <w:lang w:val="en-US"/>
        </w:rPr>
        <w:t xml:space="preserve">đảm bảo theo quy định của Luật </w:t>
      </w:r>
      <w:r w:rsidR="0038112B">
        <w:rPr>
          <w:sz w:val="28"/>
          <w:lang w:val="en-US"/>
        </w:rPr>
        <w:t>NSNN</w:t>
      </w:r>
      <w:r w:rsidRPr="00017A23">
        <w:rPr>
          <w:sz w:val="28"/>
          <w:lang w:val="en-US"/>
        </w:rPr>
        <w:t xml:space="preserve"> (</w:t>
      </w:r>
      <w:r w:rsidRPr="00ED7970">
        <w:rPr>
          <w:sz w:val="28"/>
          <w:lang w:val="en-US"/>
        </w:rPr>
        <w:t>tỷ lệ dự phòng ngân sách các cấp từ 2- 4% tổng chi ngân sách</w:t>
      </w:r>
      <w:r w:rsidRPr="00017A23">
        <w:rPr>
          <w:sz w:val="28"/>
          <w:lang w:val="en-US"/>
        </w:rPr>
        <w:t>)</w:t>
      </w:r>
      <w:r w:rsidRPr="00ED7970">
        <w:rPr>
          <w:sz w:val="28"/>
          <w:lang w:val="en-US"/>
        </w:rPr>
        <w:t xml:space="preserve">. </w:t>
      </w:r>
    </w:p>
    <w:p w:rsidR="00BE76A4" w:rsidRPr="006E353D" w:rsidRDefault="00BE76A4" w:rsidP="00CE075A">
      <w:pPr>
        <w:spacing w:after="60"/>
        <w:ind w:firstLine="720"/>
        <w:jc w:val="both"/>
        <w:rPr>
          <w:rStyle w:val="fontstyle01"/>
          <w:rFonts w:eastAsia="SimSun"/>
          <w:b/>
          <w:color w:val="auto"/>
        </w:rPr>
      </w:pPr>
      <w:r w:rsidRPr="006E353D">
        <w:rPr>
          <w:b/>
          <w:sz w:val="28"/>
          <w:lang w:val="en-US"/>
        </w:rPr>
        <w:t xml:space="preserve">Điều 13. </w:t>
      </w:r>
      <w:r w:rsidRPr="006E353D">
        <w:rPr>
          <w:rStyle w:val="fontstyle01"/>
          <w:rFonts w:eastAsia="SimSun"/>
          <w:b/>
          <w:color w:val="auto"/>
        </w:rPr>
        <w:t>Một số quy định khác</w:t>
      </w:r>
    </w:p>
    <w:p w:rsidR="00BE76A4" w:rsidRDefault="00BE76A4" w:rsidP="00CE075A">
      <w:pPr>
        <w:spacing w:after="60"/>
        <w:ind w:firstLine="720"/>
        <w:jc w:val="both"/>
        <w:rPr>
          <w:sz w:val="28"/>
          <w:lang w:val="en-US"/>
        </w:rPr>
      </w:pPr>
      <w:r w:rsidRPr="006E353D">
        <w:rPr>
          <w:sz w:val="28"/>
          <w:lang w:val="en-US"/>
        </w:rPr>
        <w:lastRenderedPageBreak/>
        <w:t>1. Đối với các cơ quan quản lý nhà nước thực hiện theo cơ chế tự chủ, tự chịu trách nhiệm về biên chế và quản lý hành chính theo quy định tại Nghị định</w:t>
      </w:r>
      <w:r w:rsidRPr="006E353D">
        <w:rPr>
          <w:sz w:val="32"/>
          <w:lang w:val="en-US"/>
        </w:rPr>
        <w:t xml:space="preserve"> </w:t>
      </w:r>
      <w:r w:rsidRPr="006E353D">
        <w:rPr>
          <w:sz w:val="28"/>
          <w:lang w:val="en-US"/>
        </w:rPr>
        <w:t>130/2005/NĐ-CP ngày 17/10/2005 của Chính phủ, định mức phân bổ trên là khoản ngân sách đảm bảo, đơn vị tự chủ động bố trí chi hợp lý, đúng chính sách, chế độ và thực hiện theo quy chế chi tiêu nội bộ đã được đơn vị xây dựng theo quy định (trừ trường hợp chính sách chế độ thay đổi hoặc đơn vị được bổ sung nhiệm vụ mới).</w:t>
      </w:r>
    </w:p>
    <w:p w:rsidR="00EF565A" w:rsidRDefault="009D525F" w:rsidP="00CE075A">
      <w:pPr>
        <w:spacing w:after="60"/>
        <w:ind w:firstLine="720"/>
        <w:jc w:val="both"/>
        <w:rPr>
          <w:sz w:val="28"/>
          <w:lang w:val="en-US"/>
        </w:rPr>
      </w:pPr>
      <w:r>
        <w:rPr>
          <w:sz w:val="28"/>
          <w:lang w:val="en-US"/>
        </w:rPr>
        <w:t xml:space="preserve">2. </w:t>
      </w:r>
      <w:r w:rsidRPr="009D525F">
        <w:rPr>
          <w:sz w:val="28"/>
          <w:lang w:val="en-US"/>
        </w:rPr>
        <w:t xml:space="preserve">Chi thực hiện các chính sách, đề án của tỉnh, đối ứng các chương trình mục tiêu theo quy định của Trung ương; </w:t>
      </w:r>
      <w:r>
        <w:rPr>
          <w:sz w:val="28"/>
          <w:lang w:val="en-US"/>
        </w:rPr>
        <w:t xml:space="preserve">bố trí </w:t>
      </w:r>
      <w:r w:rsidRPr="009D525F">
        <w:rPr>
          <w:sz w:val="28"/>
          <w:lang w:val="en-US"/>
        </w:rPr>
        <w:t>kinh phí</w:t>
      </w:r>
      <w:r>
        <w:rPr>
          <w:sz w:val="28"/>
          <w:lang w:val="en-US"/>
        </w:rPr>
        <w:t xml:space="preserve"> tăng thêm </w:t>
      </w:r>
      <w:r w:rsidRPr="009D525F">
        <w:rPr>
          <w:sz w:val="28"/>
          <w:lang w:val="en-US"/>
        </w:rPr>
        <w:t xml:space="preserve">tăng cường cơ sở vật chất </w:t>
      </w:r>
      <w:r>
        <w:rPr>
          <w:sz w:val="28"/>
          <w:lang w:val="en-US"/>
        </w:rPr>
        <w:t xml:space="preserve">theo </w:t>
      </w:r>
      <w:r w:rsidR="00EF565A" w:rsidRPr="00EF565A">
        <w:rPr>
          <w:sz w:val="28"/>
          <w:lang w:val="en-US"/>
        </w:rPr>
        <w:t xml:space="preserve">theo yêu cầu nhiệm vụ chi và </w:t>
      </w:r>
      <w:r w:rsidR="00EF565A" w:rsidRPr="009D525F">
        <w:rPr>
          <w:sz w:val="28"/>
          <w:lang w:val="en-US"/>
        </w:rPr>
        <w:t>theo khả năng ngân sách của từng cấp ngân sách</w:t>
      </w:r>
      <w:r w:rsidR="00EF565A">
        <w:rPr>
          <w:sz w:val="28"/>
          <w:lang w:val="en-US"/>
        </w:rPr>
        <w:t>.</w:t>
      </w:r>
    </w:p>
    <w:p w:rsidR="00BE76A4" w:rsidRDefault="009D525F" w:rsidP="00CE075A">
      <w:pPr>
        <w:spacing w:after="60"/>
        <w:ind w:firstLine="720"/>
        <w:jc w:val="both"/>
        <w:rPr>
          <w:sz w:val="32"/>
          <w:lang w:val="en-US"/>
        </w:rPr>
      </w:pPr>
      <w:r>
        <w:rPr>
          <w:sz w:val="28"/>
          <w:lang w:val="en-US"/>
        </w:rPr>
        <w:t>3</w:t>
      </w:r>
      <w:r w:rsidR="00BE76A4" w:rsidRPr="006E353D">
        <w:rPr>
          <w:sz w:val="28"/>
          <w:lang w:val="en-US"/>
        </w:rPr>
        <w:t xml:space="preserve">. Hằng năm trong thời kỳ ổn định ngân sách: Ngân sách tỉnh sẽ xem xét hỗ trợ </w:t>
      </w:r>
      <w:r w:rsidR="008A4731">
        <w:rPr>
          <w:sz w:val="28"/>
          <w:lang w:val="en-US"/>
        </w:rPr>
        <w:t xml:space="preserve">thêm </w:t>
      </w:r>
      <w:r w:rsidR="00BE76A4" w:rsidRPr="006E353D">
        <w:rPr>
          <w:sz w:val="28"/>
          <w:lang w:val="en-US"/>
        </w:rPr>
        <w:t>cho các huyện, thành phố, thị xã một phần kinh phí ngoài định mức t</w:t>
      </w:r>
      <w:r w:rsidR="00DF5726">
        <w:rPr>
          <w:sz w:val="28"/>
          <w:lang w:val="en-US"/>
        </w:rPr>
        <w:t>ùy</w:t>
      </w:r>
      <w:r w:rsidR="00BE76A4" w:rsidRPr="006E353D">
        <w:rPr>
          <w:sz w:val="28"/>
          <w:lang w:val="en-US"/>
        </w:rPr>
        <w:t xml:space="preserve"> theo khả năng của ngân sách tỉnh để giảm bớt khó khăn cho các huyện, thành phố, thị xã.</w:t>
      </w:r>
      <w:r w:rsidR="00BE76A4" w:rsidRPr="006E353D">
        <w:rPr>
          <w:sz w:val="32"/>
          <w:lang w:val="en-US"/>
        </w:rPr>
        <w:t xml:space="preserve"> </w:t>
      </w:r>
    </w:p>
    <w:p w:rsidR="00C769E6" w:rsidRDefault="00C769E6" w:rsidP="00CE075A">
      <w:pPr>
        <w:spacing w:after="60"/>
        <w:ind w:firstLine="720"/>
        <w:jc w:val="both"/>
        <w:rPr>
          <w:sz w:val="28"/>
          <w:lang w:val="en-US"/>
        </w:rPr>
      </w:pPr>
      <w:r>
        <w:rPr>
          <w:sz w:val="28"/>
          <w:lang w:val="en-US"/>
        </w:rPr>
        <w:t>4.</w:t>
      </w:r>
      <w:r w:rsidRPr="002B1554">
        <w:rPr>
          <w:sz w:val="28"/>
          <w:lang w:val="en-US"/>
        </w:rPr>
        <w:t xml:space="preserve"> Các năm tiếp theo trong thời kỳ ổn định, </w:t>
      </w:r>
      <w:r w:rsidRPr="00C769E6">
        <w:rPr>
          <w:sz w:val="28"/>
          <w:lang w:val="en-US"/>
        </w:rPr>
        <w:t>nếu có biến động về khả năng ngân sách và các chế độ quy định có liên quan làm ảnh hưởng đến việc thực hiện định mức, giao UBND tỉnh tổng hợp, báo cáo HĐND tỉnh xem xét, quyết định điều chỉnh, bổ sung định mức phân bổ dự toán ngân sách cho phù hợp.</w:t>
      </w:r>
      <w:r w:rsidR="00B73003">
        <w:rPr>
          <w:sz w:val="28"/>
          <w:lang w:val="en-US"/>
        </w:rPr>
        <w:t>/.</w:t>
      </w:r>
    </w:p>
    <w:p w:rsidR="00E24E1F" w:rsidRPr="00B73003" w:rsidRDefault="00B73003" w:rsidP="001C43DA">
      <w:pPr>
        <w:tabs>
          <w:tab w:val="center" w:pos="7088"/>
        </w:tabs>
        <w:spacing w:before="100" w:beforeAutospacing="1" w:after="120"/>
        <w:jc w:val="both"/>
        <w:rPr>
          <w:b/>
          <w:sz w:val="28"/>
          <w:lang w:val="en-US"/>
        </w:rPr>
      </w:pPr>
      <w:r w:rsidRPr="00B73003">
        <w:rPr>
          <w:b/>
          <w:sz w:val="28"/>
          <w:lang w:val="en-US"/>
        </w:rPr>
        <w:tab/>
        <w:t>CHỦ TỊCH</w:t>
      </w:r>
    </w:p>
    <w:p w:rsidR="00B73003" w:rsidRDefault="00B73003" w:rsidP="00B73003">
      <w:pPr>
        <w:tabs>
          <w:tab w:val="center" w:pos="7088"/>
        </w:tabs>
        <w:spacing w:after="120"/>
        <w:jc w:val="both"/>
        <w:rPr>
          <w:sz w:val="28"/>
          <w:lang w:val="en-US"/>
        </w:rPr>
      </w:pPr>
    </w:p>
    <w:p w:rsidR="00B73003" w:rsidRDefault="00B73003"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DC7EAC" w:rsidRDefault="00DC7EAC" w:rsidP="00B73003">
      <w:pPr>
        <w:tabs>
          <w:tab w:val="center" w:pos="7088"/>
        </w:tabs>
        <w:spacing w:after="120"/>
        <w:jc w:val="both"/>
        <w:rPr>
          <w:sz w:val="28"/>
          <w:lang w:val="en-US"/>
        </w:rPr>
      </w:pPr>
    </w:p>
    <w:p w:rsidR="00E24D77" w:rsidRDefault="00E24D77" w:rsidP="00B73003">
      <w:pPr>
        <w:tabs>
          <w:tab w:val="center" w:pos="7088"/>
        </w:tabs>
        <w:spacing w:after="120"/>
        <w:jc w:val="both"/>
        <w:rPr>
          <w:sz w:val="28"/>
          <w:lang w:val="en-US"/>
        </w:rPr>
      </w:pPr>
    </w:p>
    <w:p w:rsidR="00E24D77" w:rsidRDefault="00E24D77" w:rsidP="00B73003">
      <w:pPr>
        <w:tabs>
          <w:tab w:val="center" w:pos="7088"/>
        </w:tabs>
        <w:spacing w:after="120"/>
        <w:jc w:val="both"/>
        <w:rPr>
          <w:sz w:val="28"/>
          <w:lang w:val="en-US"/>
        </w:rPr>
      </w:pPr>
    </w:p>
    <w:p w:rsidR="002700CF" w:rsidRDefault="002700CF" w:rsidP="00B73003">
      <w:pPr>
        <w:tabs>
          <w:tab w:val="center" w:pos="7088"/>
        </w:tabs>
        <w:spacing w:after="120"/>
        <w:jc w:val="both"/>
        <w:rPr>
          <w:sz w:val="28"/>
          <w:lang w:val="en-US"/>
        </w:rPr>
      </w:pPr>
    </w:p>
    <w:p w:rsidR="002700CF" w:rsidRDefault="002700CF" w:rsidP="00B73003">
      <w:pPr>
        <w:tabs>
          <w:tab w:val="center" w:pos="7088"/>
        </w:tabs>
        <w:spacing w:after="120"/>
        <w:jc w:val="both"/>
        <w:rPr>
          <w:sz w:val="28"/>
          <w:lang w:val="en-US"/>
        </w:rPr>
      </w:pPr>
    </w:p>
    <w:p w:rsidR="00192F95" w:rsidRDefault="00192F95" w:rsidP="00B73003">
      <w:pPr>
        <w:tabs>
          <w:tab w:val="center" w:pos="7088"/>
        </w:tabs>
        <w:spacing w:after="120"/>
        <w:jc w:val="both"/>
        <w:rPr>
          <w:sz w:val="28"/>
          <w:lang w:val="en-US"/>
        </w:rPr>
      </w:pPr>
      <w:bookmarkStart w:id="6" w:name="_GoBack"/>
      <w:bookmarkEnd w:id="6"/>
    </w:p>
    <w:p w:rsidR="00192F95" w:rsidRDefault="00192F95" w:rsidP="00B73003">
      <w:pPr>
        <w:tabs>
          <w:tab w:val="center" w:pos="7088"/>
        </w:tabs>
        <w:spacing w:after="120"/>
        <w:jc w:val="both"/>
        <w:rPr>
          <w:sz w:val="28"/>
          <w:lang w:val="en-US"/>
        </w:rPr>
      </w:pPr>
    </w:p>
    <w:p w:rsidR="00192F95" w:rsidRDefault="00192F95" w:rsidP="00B73003">
      <w:pPr>
        <w:tabs>
          <w:tab w:val="center" w:pos="7088"/>
        </w:tabs>
        <w:spacing w:after="120"/>
        <w:jc w:val="both"/>
        <w:rPr>
          <w:sz w:val="28"/>
          <w:lang w:val="en-US"/>
        </w:rPr>
      </w:pPr>
    </w:p>
    <w:sectPr w:rsidR="00192F95" w:rsidSect="007F6BEB">
      <w:headerReference w:type="default" r:id="rId6"/>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D18" w:rsidRDefault="00811D18">
      <w:r>
        <w:separator/>
      </w:r>
    </w:p>
  </w:endnote>
  <w:endnote w:type="continuationSeparator" w:id="0">
    <w:p w:rsidR="00811D18" w:rsidRDefault="0081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D18" w:rsidRDefault="00811D18">
      <w:r>
        <w:separator/>
      </w:r>
    </w:p>
  </w:footnote>
  <w:footnote w:type="continuationSeparator" w:id="0">
    <w:p w:rsidR="00811D18" w:rsidRDefault="00811D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A2C" w:rsidRPr="006433A2" w:rsidRDefault="00604A2C" w:rsidP="007F6BEB">
    <w:pPr>
      <w:pStyle w:val="Header"/>
      <w:jc w:val="center"/>
      <w:rPr>
        <w:sz w:val="28"/>
      </w:rPr>
    </w:pPr>
    <w:r w:rsidRPr="006433A2">
      <w:rPr>
        <w:sz w:val="28"/>
      </w:rPr>
      <w:fldChar w:fldCharType="begin"/>
    </w:r>
    <w:r w:rsidRPr="006433A2">
      <w:rPr>
        <w:sz w:val="28"/>
      </w:rPr>
      <w:instrText xml:space="preserve"> PAGE   \* MERGEFORMAT </w:instrText>
    </w:r>
    <w:r w:rsidRPr="006433A2">
      <w:rPr>
        <w:sz w:val="28"/>
      </w:rPr>
      <w:fldChar w:fldCharType="separate"/>
    </w:r>
    <w:r w:rsidR="00600058">
      <w:rPr>
        <w:noProof/>
        <w:sz w:val="28"/>
      </w:rPr>
      <w:t>3</w:t>
    </w:r>
    <w:r w:rsidRPr="006433A2">
      <w:rPr>
        <w:noProof/>
        <w:sz w:val="28"/>
      </w:rPr>
      <w:fldChar w:fldCharType="end"/>
    </w:r>
  </w:p>
  <w:p w:rsidR="00604A2C" w:rsidRDefault="00604A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30"/>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A4"/>
    <w:rsid w:val="00002AE0"/>
    <w:rsid w:val="00014526"/>
    <w:rsid w:val="00015DB8"/>
    <w:rsid w:val="00017A23"/>
    <w:rsid w:val="00022198"/>
    <w:rsid w:val="00023701"/>
    <w:rsid w:val="00023A7A"/>
    <w:rsid w:val="00035A51"/>
    <w:rsid w:val="00047741"/>
    <w:rsid w:val="00054DF7"/>
    <w:rsid w:val="000721AB"/>
    <w:rsid w:val="00080E52"/>
    <w:rsid w:val="00087CCA"/>
    <w:rsid w:val="0009075D"/>
    <w:rsid w:val="000963DA"/>
    <w:rsid w:val="000A37C7"/>
    <w:rsid w:val="000C0B91"/>
    <w:rsid w:val="000D29DA"/>
    <w:rsid w:val="000E73A9"/>
    <w:rsid w:val="0010497F"/>
    <w:rsid w:val="00135DB7"/>
    <w:rsid w:val="001447E2"/>
    <w:rsid w:val="00146D49"/>
    <w:rsid w:val="0015258A"/>
    <w:rsid w:val="0017184E"/>
    <w:rsid w:val="00192F95"/>
    <w:rsid w:val="001C27FA"/>
    <w:rsid w:val="001C43DA"/>
    <w:rsid w:val="001C4BD3"/>
    <w:rsid w:val="001D1179"/>
    <w:rsid w:val="001E2755"/>
    <w:rsid w:val="001F5084"/>
    <w:rsid w:val="001F56A9"/>
    <w:rsid w:val="002232F6"/>
    <w:rsid w:val="0022383B"/>
    <w:rsid w:val="002254CC"/>
    <w:rsid w:val="00225C71"/>
    <w:rsid w:val="00230A56"/>
    <w:rsid w:val="00254CB6"/>
    <w:rsid w:val="002632E7"/>
    <w:rsid w:val="00263B5F"/>
    <w:rsid w:val="002700CF"/>
    <w:rsid w:val="00270DF4"/>
    <w:rsid w:val="00285D4F"/>
    <w:rsid w:val="00293F82"/>
    <w:rsid w:val="002A3610"/>
    <w:rsid w:val="002B1554"/>
    <w:rsid w:val="002B455D"/>
    <w:rsid w:val="002E2338"/>
    <w:rsid w:val="002E314B"/>
    <w:rsid w:val="002E423F"/>
    <w:rsid w:val="00303029"/>
    <w:rsid w:val="00303156"/>
    <w:rsid w:val="00326A6B"/>
    <w:rsid w:val="00327C9A"/>
    <w:rsid w:val="0034631C"/>
    <w:rsid w:val="00353DEA"/>
    <w:rsid w:val="003555CA"/>
    <w:rsid w:val="00355CD9"/>
    <w:rsid w:val="00373405"/>
    <w:rsid w:val="003803A2"/>
    <w:rsid w:val="0038112B"/>
    <w:rsid w:val="003A7214"/>
    <w:rsid w:val="003C7ADD"/>
    <w:rsid w:val="003D3ADC"/>
    <w:rsid w:val="003D43F5"/>
    <w:rsid w:val="003D6A02"/>
    <w:rsid w:val="003E1D6C"/>
    <w:rsid w:val="003E32DD"/>
    <w:rsid w:val="003E47DC"/>
    <w:rsid w:val="003F02E6"/>
    <w:rsid w:val="003F4D86"/>
    <w:rsid w:val="0040513C"/>
    <w:rsid w:val="0040709B"/>
    <w:rsid w:val="004134B8"/>
    <w:rsid w:val="00415EE9"/>
    <w:rsid w:val="00437C10"/>
    <w:rsid w:val="004418F6"/>
    <w:rsid w:val="00443D3A"/>
    <w:rsid w:val="004471C5"/>
    <w:rsid w:val="00447BAA"/>
    <w:rsid w:val="004600DA"/>
    <w:rsid w:val="00461CD9"/>
    <w:rsid w:val="00474B56"/>
    <w:rsid w:val="004861D7"/>
    <w:rsid w:val="00487F98"/>
    <w:rsid w:val="004A2AA9"/>
    <w:rsid w:val="004A7808"/>
    <w:rsid w:val="004C5ADF"/>
    <w:rsid w:val="004D2C64"/>
    <w:rsid w:val="004D4762"/>
    <w:rsid w:val="004D4B85"/>
    <w:rsid w:val="004E2A6D"/>
    <w:rsid w:val="004F0855"/>
    <w:rsid w:val="004F0B63"/>
    <w:rsid w:val="00504BC9"/>
    <w:rsid w:val="0050668C"/>
    <w:rsid w:val="0050688D"/>
    <w:rsid w:val="00517A96"/>
    <w:rsid w:val="00520274"/>
    <w:rsid w:val="00525D3F"/>
    <w:rsid w:val="00541399"/>
    <w:rsid w:val="00543F7A"/>
    <w:rsid w:val="00546E82"/>
    <w:rsid w:val="0057108A"/>
    <w:rsid w:val="00573670"/>
    <w:rsid w:val="00574389"/>
    <w:rsid w:val="00597FAE"/>
    <w:rsid w:val="005A59C2"/>
    <w:rsid w:val="005B0E2C"/>
    <w:rsid w:val="005B1B10"/>
    <w:rsid w:val="005B1B3B"/>
    <w:rsid w:val="005B268A"/>
    <w:rsid w:val="005B5970"/>
    <w:rsid w:val="005B7893"/>
    <w:rsid w:val="005D4F87"/>
    <w:rsid w:val="005D54FB"/>
    <w:rsid w:val="00600058"/>
    <w:rsid w:val="00604A2C"/>
    <w:rsid w:val="00617D13"/>
    <w:rsid w:val="0064143F"/>
    <w:rsid w:val="00652F6C"/>
    <w:rsid w:val="0065401E"/>
    <w:rsid w:val="00686C6B"/>
    <w:rsid w:val="00694BCB"/>
    <w:rsid w:val="006A69BE"/>
    <w:rsid w:val="006B0BDF"/>
    <w:rsid w:val="006B1537"/>
    <w:rsid w:val="006B25C8"/>
    <w:rsid w:val="006C464D"/>
    <w:rsid w:val="006D3A8A"/>
    <w:rsid w:val="006E18DB"/>
    <w:rsid w:val="006E353D"/>
    <w:rsid w:val="006E423C"/>
    <w:rsid w:val="006F6EB4"/>
    <w:rsid w:val="00700137"/>
    <w:rsid w:val="00702FB4"/>
    <w:rsid w:val="00710054"/>
    <w:rsid w:val="007136BB"/>
    <w:rsid w:val="00715611"/>
    <w:rsid w:val="00741D0C"/>
    <w:rsid w:val="00750E22"/>
    <w:rsid w:val="00754A5C"/>
    <w:rsid w:val="00754E68"/>
    <w:rsid w:val="00766EF0"/>
    <w:rsid w:val="00767B97"/>
    <w:rsid w:val="0077730E"/>
    <w:rsid w:val="00782C1F"/>
    <w:rsid w:val="00787D68"/>
    <w:rsid w:val="00797D49"/>
    <w:rsid w:val="007A467E"/>
    <w:rsid w:val="007B1AE7"/>
    <w:rsid w:val="007B2A48"/>
    <w:rsid w:val="007B6C50"/>
    <w:rsid w:val="007B7AE6"/>
    <w:rsid w:val="007C07C3"/>
    <w:rsid w:val="007C1E51"/>
    <w:rsid w:val="007D0E0B"/>
    <w:rsid w:val="007D651A"/>
    <w:rsid w:val="007F5BF8"/>
    <w:rsid w:val="007F6BEB"/>
    <w:rsid w:val="00811D18"/>
    <w:rsid w:val="00836F9D"/>
    <w:rsid w:val="0084164D"/>
    <w:rsid w:val="00855919"/>
    <w:rsid w:val="00867F6C"/>
    <w:rsid w:val="00870568"/>
    <w:rsid w:val="008732CB"/>
    <w:rsid w:val="00873AE0"/>
    <w:rsid w:val="008755B5"/>
    <w:rsid w:val="008A2139"/>
    <w:rsid w:val="008A4731"/>
    <w:rsid w:val="008B0B59"/>
    <w:rsid w:val="008B1CBC"/>
    <w:rsid w:val="008C49DB"/>
    <w:rsid w:val="008E5C93"/>
    <w:rsid w:val="008F15A2"/>
    <w:rsid w:val="008F1A7B"/>
    <w:rsid w:val="00902AA5"/>
    <w:rsid w:val="0090496A"/>
    <w:rsid w:val="00932344"/>
    <w:rsid w:val="00961F4A"/>
    <w:rsid w:val="00975AAD"/>
    <w:rsid w:val="00980EFC"/>
    <w:rsid w:val="00981146"/>
    <w:rsid w:val="00983377"/>
    <w:rsid w:val="00990347"/>
    <w:rsid w:val="00990EBB"/>
    <w:rsid w:val="009A1CC9"/>
    <w:rsid w:val="009A426D"/>
    <w:rsid w:val="009A626A"/>
    <w:rsid w:val="009B0B06"/>
    <w:rsid w:val="009B48ED"/>
    <w:rsid w:val="009C17F9"/>
    <w:rsid w:val="009C1E5C"/>
    <w:rsid w:val="009C5F41"/>
    <w:rsid w:val="009C7E3E"/>
    <w:rsid w:val="009D525F"/>
    <w:rsid w:val="009E2A70"/>
    <w:rsid w:val="009F0122"/>
    <w:rsid w:val="009F116F"/>
    <w:rsid w:val="009F2309"/>
    <w:rsid w:val="00A040A9"/>
    <w:rsid w:val="00A11507"/>
    <w:rsid w:val="00A46A75"/>
    <w:rsid w:val="00A542F2"/>
    <w:rsid w:val="00A61433"/>
    <w:rsid w:val="00A63489"/>
    <w:rsid w:val="00A84626"/>
    <w:rsid w:val="00A87EA7"/>
    <w:rsid w:val="00AC3EB6"/>
    <w:rsid w:val="00AD5579"/>
    <w:rsid w:val="00AE5C02"/>
    <w:rsid w:val="00AF7A13"/>
    <w:rsid w:val="00B177B9"/>
    <w:rsid w:val="00B272A5"/>
    <w:rsid w:val="00B40103"/>
    <w:rsid w:val="00B5774E"/>
    <w:rsid w:val="00B60607"/>
    <w:rsid w:val="00B73003"/>
    <w:rsid w:val="00B8302F"/>
    <w:rsid w:val="00B8446A"/>
    <w:rsid w:val="00B978DD"/>
    <w:rsid w:val="00BA35C9"/>
    <w:rsid w:val="00BC5972"/>
    <w:rsid w:val="00BD1B53"/>
    <w:rsid w:val="00BD73A1"/>
    <w:rsid w:val="00BE14D6"/>
    <w:rsid w:val="00BE3218"/>
    <w:rsid w:val="00BE76A4"/>
    <w:rsid w:val="00BF053C"/>
    <w:rsid w:val="00C123C2"/>
    <w:rsid w:val="00C14B58"/>
    <w:rsid w:val="00C2399A"/>
    <w:rsid w:val="00C450AE"/>
    <w:rsid w:val="00C4698B"/>
    <w:rsid w:val="00C52943"/>
    <w:rsid w:val="00C55E39"/>
    <w:rsid w:val="00C60C4B"/>
    <w:rsid w:val="00C67431"/>
    <w:rsid w:val="00C769E6"/>
    <w:rsid w:val="00C9304F"/>
    <w:rsid w:val="00C93875"/>
    <w:rsid w:val="00C94F16"/>
    <w:rsid w:val="00CA0048"/>
    <w:rsid w:val="00CA1357"/>
    <w:rsid w:val="00CB0D48"/>
    <w:rsid w:val="00CC31EC"/>
    <w:rsid w:val="00CC5808"/>
    <w:rsid w:val="00CC70BB"/>
    <w:rsid w:val="00CE075A"/>
    <w:rsid w:val="00CE0E03"/>
    <w:rsid w:val="00CE5B43"/>
    <w:rsid w:val="00CE797E"/>
    <w:rsid w:val="00D06982"/>
    <w:rsid w:val="00D076DF"/>
    <w:rsid w:val="00D31109"/>
    <w:rsid w:val="00D332A8"/>
    <w:rsid w:val="00D37FA7"/>
    <w:rsid w:val="00D542E3"/>
    <w:rsid w:val="00D6235E"/>
    <w:rsid w:val="00D62D32"/>
    <w:rsid w:val="00D7292C"/>
    <w:rsid w:val="00D75657"/>
    <w:rsid w:val="00D903FA"/>
    <w:rsid w:val="00DB5C88"/>
    <w:rsid w:val="00DC7EAC"/>
    <w:rsid w:val="00DD57D2"/>
    <w:rsid w:val="00DE620B"/>
    <w:rsid w:val="00DF5726"/>
    <w:rsid w:val="00DF5731"/>
    <w:rsid w:val="00E107A1"/>
    <w:rsid w:val="00E238CD"/>
    <w:rsid w:val="00E24D77"/>
    <w:rsid w:val="00E24E1F"/>
    <w:rsid w:val="00E324C0"/>
    <w:rsid w:val="00E338C7"/>
    <w:rsid w:val="00E445EF"/>
    <w:rsid w:val="00E46B73"/>
    <w:rsid w:val="00E46BB4"/>
    <w:rsid w:val="00E47D94"/>
    <w:rsid w:val="00E67371"/>
    <w:rsid w:val="00E70E59"/>
    <w:rsid w:val="00E806FB"/>
    <w:rsid w:val="00E8071A"/>
    <w:rsid w:val="00E80B80"/>
    <w:rsid w:val="00E93A10"/>
    <w:rsid w:val="00EA1F45"/>
    <w:rsid w:val="00ED0C4B"/>
    <w:rsid w:val="00ED1E0F"/>
    <w:rsid w:val="00ED7970"/>
    <w:rsid w:val="00EF2014"/>
    <w:rsid w:val="00EF565A"/>
    <w:rsid w:val="00F02663"/>
    <w:rsid w:val="00F159A2"/>
    <w:rsid w:val="00F20131"/>
    <w:rsid w:val="00F23CF1"/>
    <w:rsid w:val="00F32019"/>
    <w:rsid w:val="00F37CF8"/>
    <w:rsid w:val="00F43C10"/>
    <w:rsid w:val="00F67675"/>
    <w:rsid w:val="00F70C09"/>
    <w:rsid w:val="00F77797"/>
    <w:rsid w:val="00F84A0B"/>
    <w:rsid w:val="00F96117"/>
    <w:rsid w:val="00FA2ECC"/>
    <w:rsid w:val="00FB0682"/>
    <w:rsid w:val="00FB4259"/>
    <w:rsid w:val="00FC268B"/>
    <w:rsid w:val="00FC54C1"/>
    <w:rsid w:val="00FE3963"/>
    <w:rsid w:val="00FE7F59"/>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AB6A"/>
  <w15:chartTrackingRefBased/>
  <w15:docId w15:val="{5CD407B0-CB41-459A-8936-B36C2841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1"/>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E03"/>
    <w:pPr>
      <w:spacing w:after="0"/>
      <w:jc w:val="left"/>
    </w:pPr>
    <w:rPr>
      <w:rFonts w:eastAsia="Times New Roman" w:cs="Times New Roman"/>
      <w:sz w:val="24"/>
      <w:szCs w:val="24"/>
      <w:lang w:val="vi-VN" w:eastAsia="vi-VN"/>
    </w:rPr>
  </w:style>
  <w:style w:type="paragraph" w:styleId="Heading1">
    <w:name w:val="heading 1"/>
    <w:basedOn w:val="Normal"/>
    <w:next w:val="Normal"/>
    <w:link w:val="Heading1Char"/>
    <w:uiPriority w:val="9"/>
    <w:qFormat/>
    <w:rsid w:val="00504BC9"/>
    <w:pPr>
      <w:keepNext/>
      <w:keepLines/>
      <w:spacing w:before="360" w:after="40"/>
      <w:jc w:val="center"/>
      <w:outlineLvl w:val="0"/>
    </w:pPr>
    <w:rPr>
      <w:rFonts w:ascii="Calibri Light" w:eastAsia="SimSun" w:hAnsi="Calibri Light"/>
      <w:color w:val="538135"/>
      <w:sz w:val="40"/>
      <w:szCs w:val="40"/>
      <w:lang w:val="en-US" w:eastAsia="en-US"/>
    </w:rPr>
  </w:style>
  <w:style w:type="paragraph" w:styleId="Heading2">
    <w:name w:val="heading 2"/>
    <w:basedOn w:val="Normal"/>
    <w:next w:val="Normal"/>
    <w:link w:val="Heading2Char"/>
    <w:uiPriority w:val="9"/>
    <w:unhideWhenUsed/>
    <w:qFormat/>
    <w:rsid w:val="00504BC9"/>
    <w:pPr>
      <w:keepNext/>
      <w:keepLines/>
      <w:spacing w:before="80"/>
      <w:jc w:val="center"/>
      <w:outlineLvl w:val="1"/>
    </w:pPr>
    <w:rPr>
      <w:rFonts w:ascii="Calibri Light" w:eastAsia="SimSun" w:hAnsi="Calibri Light"/>
      <w:color w:val="538135"/>
      <w:sz w:val="28"/>
      <w:szCs w:val="28"/>
      <w:lang w:val="en-US" w:eastAsia="en-US"/>
    </w:rPr>
  </w:style>
  <w:style w:type="paragraph" w:styleId="Heading3">
    <w:name w:val="heading 3"/>
    <w:basedOn w:val="Normal"/>
    <w:next w:val="Normal"/>
    <w:link w:val="Heading3Char"/>
    <w:uiPriority w:val="9"/>
    <w:unhideWhenUsed/>
    <w:qFormat/>
    <w:rsid w:val="00504BC9"/>
    <w:pPr>
      <w:keepNext/>
      <w:keepLines/>
      <w:spacing w:before="80"/>
      <w:jc w:val="center"/>
      <w:outlineLvl w:val="2"/>
    </w:pPr>
    <w:rPr>
      <w:rFonts w:ascii="Calibri Light" w:eastAsia="SimSun" w:hAnsi="Calibri Light"/>
      <w:color w:val="538135"/>
      <w:lang w:val="en-US" w:eastAsia="en-US"/>
    </w:rPr>
  </w:style>
  <w:style w:type="paragraph" w:styleId="Heading4">
    <w:name w:val="heading 4"/>
    <w:basedOn w:val="Normal"/>
    <w:next w:val="Normal"/>
    <w:link w:val="Heading4Char"/>
    <w:uiPriority w:val="9"/>
    <w:unhideWhenUsed/>
    <w:qFormat/>
    <w:rsid w:val="00504BC9"/>
    <w:pPr>
      <w:keepNext/>
      <w:keepLines/>
      <w:spacing w:before="80"/>
      <w:jc w:val="center"/>
      <w:outlineLvl w:val="3"/>
    </w:pPr>
    <w:rPr>
      <w:rFonts w:ascii="Calibri Light" w:eastAsia="SimSun" w:hAnsi="Calibri Light"/>
      <w:color w:val="70AD47"/>
      <w:sz w:val="22"/>
      <w:szCs w:val="22"/>
      <w:lang w:val="en-US" w:eastAsia="en-US"/>
    </w:rPr>
  </w:style>
  <w:style w:type="paragraph" w:styleId="Heading5">
    <w:name w:val="heading 5"/>
    <w:basedOn w:val="Normal"/>
    <w:next w:val="Normal"/>
    <w:link w:val="Heading5Char"/>
    <w:uiPriority w:val="9"/>
    <w:unhideWhenUsed/>
    <w:qFormat/>
    <w:rsid w:val="00504BC9"/>
    <w:pPr>
      <w:keepNext/>
      <w:keepLines/>
      <w:spacing w:before="40"/>
      <w:jc w:val="center"/>
      <w:outlineLvl w:val="4"/>
    </w:pPr>
    <w:rPr>
      <w:rFonts w:ascii="Calibri Light" w:eastAsia="SimSun" w:hAnsi="Calibri Light"/>
      <w:i/>
      <w:iCs/>
      <w:color w:val="70AD47"/>
      <w:sz w:val="22"/>
      <w:szCs w:val="22"/>
      <w:lang w:val="en-US" w:eastAsia="en-US"/>
    </w:rPr>
  </w:style>
  <w:style w:type="paragraph" w:styleId="Heading6">
    <w:name w:val="heading 6"/>
    <w:basedOn w:val="Normal"/>
    <w:next w:val="Normal"/>
    <w:link w:val="Heading6Char"/>
    <w:uiPriority w:val="9"/>
    <w:unhideWhenUsed/>
    <w:qFormat/>
    <w:rsid w:val="00504BC9"/>
    <w:pPr>
      <w:keepNext/>
      <w:keepLines/>
      <w:spacing w:before="40"/>
      <w:jc w:val="center"/>
      <w:outlineLvl w:val="5"/>
    </w:pPr>
    <w:rPr>
      <w:rFonts w:ascii="Calibri Light" w:eastAsia="SimSun" w:hAnsi="Calibri Light"/>
      <w:color w:val="70AD47"/>
      <w:sz w:val="28"/>
      <w:szCs w:val="21"/>
      <w:lang w:val="en-US" w:eastAsia="en-US"/>
    </w:rPr>
  </w:style>
  <w:style w:type="paragraph" w:styleId="Heading7">
    <w:name w:val="heading 7"/>
    <w:basedOn w:val="Normal"/>
    <w:next w:val="Normal"/>
    <w:link w:val="Heading7Char"/>
    <w:uiPriority w:val="9"/>
    <w:unhideWhenUsed/>
    <w:qFormat/>
    <w:rsid w:val="00504BC9"/>
    <w:pPr>
      <w:keepNext/>
      <w:keepLines/>
      <w:spacing w:before="40"/>
      <w:jc w:val="center"/>
      <w:outlineLvl w:val="6"/>
    </w:pPr>
    <w:rPr>
      <w:rFonts w:ascii="Calibri Light" w:eastAsia="SimSun" w:hAnsi="Calibri Light"/>
      <w:b/>
      <w:bCs/>
      <w:color w:val="70AD47"/>
      <w:sz w:val="28"/>
      <w:szCs w:val="21"/>
      <w:lang w:val="en-US" w:eastAsia="en-US"/>
    </w:rPr>
  </w:style>
  <w:style w:type="paragraph" w:styleId="Heading8">
    <w:name w:val="heading 8"/>
    <w:basedOn w:val="Normal"/>
    <w:next w:val="Normal"/>
    <w:link w:val="Heading8Char"/>
    <w:uiPriority w:val="9"/>
    <w:unhideWhenUsed/>
    <w:qFormat/>
    <w:rsid w:val="00504BC9"/>
    <w:pPr>
      <w:keepNext/>
      <w:keepLines/>
      <w:spacing w:before="40"/>
      <w:jc w:val="center"/>
      <w:outlineLvl w:val="7"/>
    </w:pPr>
    <w:rPr>
      <w:rFonts w:ascii="Calibri Light" w:eastAsia="SimSun" w:hAnsi="Calibri Light"/>
      <w:b/>
      <w:bCs/>
      <w:i/>
      <w:iCs/>
      <w:color w:val="70AD47"/>
      <w:sz w:val="20"/>
      <w:szCs w:val="20"/>
      <w:lang w:val="en-US" w:eastAsia="en-US"/>
    </w:rPr>
  </w:style>
  <w:style w:type="paragraph" w:styleId="Heading9">
    <w:name w:val="heading 9"/>
    <w:basedOn w:val="Normal"/>
    <w:next w:val="Normal"/>
    <w:link w:val="Heading9Char"/>
    <w:uiPriority w:val="9"/>
    <w:semiHidden/>
    <w:unhideWhenUsed/>
    <w:qFormat/>
    <w:rsid w:val="00504BC9"/>
    <w:pPr>
      <w:keepNext/>
      <w:keepLines/>
      <w:spacing w:before="40"/>
      <w:jc w:val="center"/>
      <w:outlineLvl w:val="8"/>
    </w:pPr>
    <w:rPr>
      <w:rFonts w:ascii="Calibri Light" w:eastAsia="SimSun" w:hAnsi="Calibri Light"/>
      <w:i/>
      <w:iCs/>
      <w:color w:val="70AD47"/>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504BC9"/>
    <w:pPr>
      <w:spacing w:after="160" w:line="240" w:lineRule="exact"/>
      <w:jc w:val="center"/>
    </w:pPr>
    <w:rPr>
      <w:rFonts w:eastAsiaTheme="minorHAnsi" w:cstheme="minorBidi"/>
      <w:sz w:val="28"/>
      <w:szCs w:val="21"/>
      <w:vertAlign w:val="superscript"/>
      <w:lang w:val="en-US" w:eastAsia="en-US"/>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504BC9"/>
    <w:rPr>
      <w:vertAlign w:val="superscript"/>
    </w:rPr>
  </w:style>
  <w:style w:type="character" w:customStyle="1" w:styleId="Heading1Char">
    <w:name w:val="Heading 1 Char"/>
    <w:link w:val="Heading1"/>
    <w:uiPriority w:val="9"/>
    <w:rsid w:val="00504BC9"/>
    <w:rPr>
      <w:rFonts w:ascii="Calibri Light" w:eastAsia="SimSun" w:hAnsi="Calibri Light" w:cs="Times New Roman"/>
      <w:color w:val="538135"/>
      <w:sz w:val="40"/>
      <w:szCs w:val="40"/>
    </w:rPr>
  </w:style>
  <w:style w:type="character" w:customStyle="1" w:styleId="Heading2Char">
    <w:name w:val="Heading 2 Char"/>
    <w:link w:val="Heading2"/>
    <w:uiPriority w:val="9"/>
    <w:rsid w:val="00504BC9"/>
    <w:rPr>
      <w:rFonts w:ascii="Calibri Light" w:eastAsia="SimSun" w:hAnsi="Calibri Light" w:cs="Times New Roman"/>
      <w:color w:val="538135"/>
      <w:sz w:val="28"/>
      <w:szCs w:val="28"/>
    </w:rPr>
  </w:style>
  <w:style w:type="character" w:customStyle="1" w:styleId="Heading3Char">
    <w:name w:val="Heading 3 Char"/>
    <w:link w:val="Heading3"/>
    <w:uiPriority w:val="9"/>
    <w:rsid w:val="00504BC9"/>
    <w:rPr>
      <w:rFonts w:ascii="Calibri Light" w:eastAsia="SimSun" w:hAnsi="Calibri Light" w:cs="Times New Roman"/>
      <w:color w:val="538135"/>
      <w:sz w:val="24"/>
      <w:szCs w:val="24"/>
    </w:rPr>
  </w:style>
  <w:style w:type="character" w:customStyle="1" w:styleId="Heading4Char">
    <w:name w:val="Heading 4 Char"/>
    <w:link w:val="Heading4"/>
    <w:uiPriority w:val="9"/>
    <w:rsid w:val="00504BC9"/>
    <w:rPr>
      <w:rFonts w:ascii="Calibri Light" w:eastAsia="SimSun" w:hAnsi="Calibri Light" w:cs="Times New Roman"/>
      <w:color w:val="70AD47"/>
      <w:sz w:val="22"/>
      <w:szCs w:val="22"/>
    </w:rPr>
  </w:style>
  <w:style w:type="character" w:customStyle="1" w:styleId="Heading5Char">
    <w:name w:val="Heading 5 Char"/>
    <w:link w:val="Heading5"/>
    <w:uiPriority w:val="9"/>
    <w:rsid w:val="00504BC9"/>
    <w:rPr>
      <w:rFonts w:ascii="Calibri Light" w:eastAsia="SimSun" w:hAnsi="Calibri Light" w:cs="Times New Roman"/>
      <w:i/>
      <w:iCs/>
      <w:color w:val="70AD47"/>
      <w:sz w:val="22"/>
      <w:szCs w:val="22"/>
    </w:rPr>
  </w:style>
  <w:style w:type="character" w:customStyle="1" w:styleId="Heading6Char">
    <w:name w:val="Heading 6 Char"/>
    <w:link w:val="Heading6"/>
    <w:uiPriority w:val="9"/>
    <w:rsid w:val="00504BC9"/>
    <w:rPr>
      <w:rFonts w:ascii="Calibri Light" w:eastAsia="SimSun" w:hAnsi="Calibri Light" w:cs="Times New Roman"/>
      <w:color w:val="70AD47"/>
    </w:rPr>
  </w:style>
  <w:style w:type="character" w:customStyle="1" w:styleId="Heading7Char">
    <w:name w:val="Heading 7 Char"/>
    <w:link w:val="Heading7"/>
    <w:uiPriority w:val="9"/>
    <w:rsid w:val="00504BC9"/>
    <w:rPr>
      <w:rFonts w:ascii="Calibri Light" w:eastAsia="SimSun" w:hAnsi="Calibri Light" w:cs="Times New Roman"/>
      <w:b/>
      <w:bCs/>
      <w:color w:val="70AD47"/>
    </w:rPr>
  </w:style>
  <w:style w:type="character" w:customStyle="1" w:styleId="Heading8Char">
    <w:name w:val="Heading 8 Char"/>
    <w:link w:val="Heading8"/>
    <w:uiPriority w:val="9"/>
    <w:rsid w:val="00504BC9"/>
    <w:rPr>
      <w:rFonts w:ascii="Calibri Light" w:eastAsia="SimSun" w:hAnsi="Calibri Light" w:cs="Times New Roman"/>
      <w:b/>
      <w:bCs/>
      <w:i/>
      <w:iCs/>
      <w:color w:val="70AD47"/>
      <w:sz w:val="20"/>
      <w:szCs w:val="20"/>
    </w:rPr>
  </w:style>
  <w:style w:type="character" w:customStyle="1" w:styleId="Heading9Char">
    <w:name w:val="Heading 9 Char"/>
    <w:link w:val="Heading9"/>
    <w:uiPriority w:val="9"/>
    <w:semiHidden/>
    <w:rsid w:val="00504BC9"/>
    <w:rPr>
      <w:rFonts w:ascii="Calibri Light" w:eastAsia="SimSun" w:hAnsi="Calibri Light" w:cs="Times New Roman"/>
      <w:i/>
      <w:iCs/>
      <w:color w:val="70AD47"/>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uiPriority w:val="99"/>
    <w:qFormat/>
    <w:rsid w:val="00504BC9"/>
    <w:pPr>
      <w:spacing w:after="120"/>
      <w:jc w:val="center"/>
    </w:pPr>
    <w:rPr>
      <w:rFonts w:eastAsiaTheme="minorHAnsi" w:cstheme="minorBidi"/>
      <w:sz w:val="28"/>
      <w:szCs w:val="21"/>
      <w:lang w:val="en-US"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link w:val="FootnoteText"/>
    <w:uiPriority w:val="99"/>
    <w:qFormat/>
    <w:rsid w:val="00504BC9"/>
  </w:style>
  <w:style w:type="paragraph" w:styleId="Caption">
    <w:name w:val="caption"/>
    <w:basedOn w:val="Normal"/>
    <w:next w:val="Normal"/>
    <w:uiPriority w:val="35"/>
    <w:semiHidden/>
    <w:unhideWhenUsed/>
    <w:qFormat/>
    <w:rsid w:val="00504BC9"/>
    <w:pPr>
      <w:spacing w:after="120"/>
      <w:jc w:val="center"/>
    </w:pPr>
    <w:rPr>
      <w:rFonts w:eastAsiaTheme="minorHAnsi" w:cstheme="minorBidi"/>
      <w:b/>
      <w:bCs/>
      <w:smallCaps/>
      <w:color w:val="595959"/>
      <w:sz w:val="28"/>
      <w:szCs w:val="21"/>
      <w:lang w:val="en-US" w:eastAsia="en-US"/>
    </w:rPr>
  </w:style>
  <w:style w:type="paragraph" w:styleId="Title">
    <w:name w:val="Title"/>
    <w:basedOn w:val="Normal"/>
    <w:next w:val="Normal"/>
    <w:link w:val="TitleChar"/>
    <w:uiPriority w:val="10"/>
    <w:qFormat/>
    <w:rsid w:val="00504BC9"/>
    <w:pPr>
      <w:contextualSpacing/>
      <w:jc w:val="center"/>
    </w:pPr>
    <w:rPr>
      <w:rFonts w:ascii="Calibri Light" w:eastAsia="SimSun" w:hAnsi="Calibri Light"/>
      <w:color w:val="262626"/>
      <w:spacing w:val="-15"/>
      <w:sz w:val="96"/>
      <w:szCs w:val="96"/>
      <w:lang w:val="en-US" w:eastAsia="en-US"/>
    </w:rPr>
  </w:style>
  <w:style w:type="character" w:customStyle="1" w:styleId="TitleChar">
    <w:name w:val="Title Char"/>
    <w:link w:val="Title"/>
    <w:uiPriority w:val="10"/>
    <w:rsid w:val="00504BC9"/>
    <w:rPr>
      <w:rFonts w:ascii="Calibri Light" w:eastAsia="SimSun" w:hAnsi="Calibri Light" w:cs="Times New Roman"/>
      <w:color w:val="262626"/>
      <w:spacing w:val="-15"/>
      <w:sz w:val="96"/>
      <w:szCs w:val="96"/>
    </w:rPr>
  </w:style>
  <w:style w:type="paragraph" w:styleId="Subtitle">
    <w:name w:val="Subtitle"/>
    <w:basedOn w:val="Normal"/>
    <w:next w:val="Normal"/>
    <w:link w:val="SubtitleChar"/>
    <w:uiPriority w:val="11"/>
    <w:qFormat/>
    <w:rsid w:val="00504BC9"/>
    <w:pPr>
      <w:numPr>
        <w:ilvl w:val="1"/>
      </w:numPr>
      <w:spacing w:after="120"/>
      <w:jc w:val="center"/>
    </w:pPr>
    <w:rPr>
      <w:rFonts w:ascii="Calibri Light" w:eastAsia="SimSun" w:hAnsi="Calibri Light"/>
      <w:sz w:val="30"/>
      <w:szCs w:val="30"/>
      <w:lang w:val="en-US" w:eastAsia="en-US"/>
    </w:rPr>
  </w:style>
  <w:style w:type="character" w:customStyle="1" w:styleId="SubtitleChar">
    <w:name w:val="Subtitle Char"/>
    <w:link w:val="Subtitle"/>
    <w:uiPriority w:val="11"/>
    <w:rsid w:val="00504BC9"/>
    <w:rPr>
      <w:rFonts w:ascii="Calibri Light" w:eastAsia="SimSun" w:hAnsi="Calibri Light" w:cs="Times New Roman"/>
      <w:sz w:val="30"/>
      <w:szCs w:val="30"/>
    </w:rPr>
  </w:style>
  <w:style w:type="character" w:styleId="Strong">
    <w:name w:val="Strong"/>
    <w:uiPriority w:val="22"/>
    <w:qFormat/>
    <w:rsid w:val="00504BC9"/>
    <w:rPr>
      <w:b/>
      <w:bCs/>
    </w:rPr>
  </w:style>
  <w:style w:type="character" w:styleId="Emphasis">
    <w:name w:val="Emphasis"/>
    <w:uiPriority w:val="20"/>
    <w:qFormat/>
    <w:rsid w:val="00504BC9"/>
    <w:rPr>
      <w:i/>
      <w:iCs/>
      <w:color w:val="70AD47"/>
    </w:rPr>
  </w:style>
  <w:style w:type="paragraph" w:styleId="NoSpacing">
    <w:name w:val="No Spacing"/>
    <w:uiPriority w:val="1"/>
    <w:qFormat/>
    <w:rsid w:val="00504BC9"/>
    <w:pPr>
      <w:spacing w:after="0"/>
    </w:pPr>
  </w:style>
  <w:style w:type="paragraph" w:styleId="ListParagraph">
    <w:name w:val="List Paragraph"/>
    <w:basedOn w:val="Normal"/>
    <w:uiPriority w:val="34"/>
    <w:qFormat/>
    <w:rsid w:val="00504BC9"/>
    <w:pPr>
      <w:spacing w:after="120"/>
      <w:ind w:left="720"/>
      <w:contextualSpacing/>
      <w:jc w:val="center"/>
    </w:pPr>
    <w:rPr>
      <w:rFonts w:eastAsiaTheme="minorHAnsi" w:cstheme="minorBidi"/>
      <w:sz w:val="28"/>
      <w:szCs w:val="21"/>
      <w:lang w:val="en-US" w:eastAsia="en-US"/>
    </w:rPr>
  </w:style>
  <w:style w:type="paragraph" w:styleId="Quote">
    <w:name w:val="Quote"/>
    <w:basedOn w:val="Normal"/>
    <w:next w:val="Normal"/>
    <w:link w:val="QuoteChar"/>
    <w:uiPriority w:val="29"/>
    <w:qFormat/>
    <w:rsid w:val="00504BC9"/>
    <w:pPr>
      <w:spacing w:before="160" w:after="120"/>
      <w:ind w:left="720" w:right="720"/>
      <w:jc w:val="center"/>
    </w:pPr>
    <w:rPr>
      <w:rFonts w:eastAsiaTheme="minorHAnsi" w:cstheme="minorBidi"/>
      <w:i/>
      <w:iCs/>
      <w:color w:val="262626"/>
      <w:sz w:val="28"/>
      <w:szCs w:val="21"/>
      <w:lang w:val="en-US" w:eastAsia="en-US"/>
    </w:rPr>
  </w:style>
  <w:style w:type="character" w:customStyle="1" w:styleId="QuoteChar">
    <w:name w:val="Quote Char"/>
    <w:link w:val="Quote"/>
    <w:uiPriority w:val="29"/>
    <w:rsid w:val="00504BC9"/>
    <w:rPr>
      <w:i/>
      <w:iCs/>
      <w:color w:val="262626"/>
    </w:rPr>
  </w:style>
  <w:style w:type="paragraph" w:styleId="IntenseQuote">
    <w:name w:val="Intense Quote"/>
    <w:basedOn w:val="Normal"/>
    <w:next w:val="Normal"/>
    <w:link w:val="IntenseQuoteChar"/>
    <w:uiPriority w:val="30"/>
    <w:qFormat/>
    <w:rsid w:val="00504BC9"/>
    <w:pPr>
      <w:spacing w:before="160" w:after="160" w:line="264" w:lineRule="auto"/>
      <w:ind w:left="720" w:right="720"/>
      <w:jc w:val="center"/>
    </w:pPr>
    <w:rPr>
      <w:rFonts w:ascii="Calibri Light" w:eastAsia="SimSun" w:hAnsi="Calibri Light"/>
      <w:i/>
      <w:iCs/>
      <w:color w:val="70AD47"/>
      <w:sz w:val="32"/>
      <w:szCs w:val="32"/>
      <w:lang w:val="en-US" w:eastAsia="en-US"/>
    </w:rPr>
  </w:style>
  <w:style w:type="character" w:customStyle="1" w:styleId="IntenseQuoteChar">
    <w:name w:val="Intense Quote Char"/>
    <w:link w:val="IntenseQuote"/>
    <w:uiPriority w:val="30"/>
    <w:rsid w:val="00504BC9"/>
    <w:rPr>
      <w:rFonts w:ascii="Calibri Light" w:eastAsia="SimSun" w:hAnsi="Calibri Light" w:cs="Times New Roman"/>
      <w:i/>
      <w:iCs/>
      <w:color w:val="70AD47"/>
      <w:sz w:val="32"/>
      <w:szCs w:val="32"/>
    </w:rPr>
  </w:style>
  <w:style w:type="character" w:styleId="SubtleEmphasis">
    <w:name w:val="Subtle Emphasis"/>
    <w:uiPriority w:val="19"/>
    <w:qFormat/>
    <w:rsid w:val="00504BC9"/>
    <w:rPr>
      <w:i/>
      <w:iCs/>
    </w:rPr>
  </w:style>
  <w:style w:type="character" w:styleId="IntenseEmphasis">
    <w:name w:val="Intense Emphasis"/>
    <w:uiPriority w:val="21"/>
    <w:qFormat/>
    <w:rsid w:val="00504BC9"/>
    <w:rPr>
      <w:b/>
      <w:bCs/>
      <w:i/>
      <w:iCs/>
    </w:rPr>
  </w:style>
  <w:style w:type="character" w:styleId="SubtleReference">
    <w:name w:val="Subtle Reference"/>
    <w:uiPriority w:val="31"/>
    <w:qFormat/>
    <w:rsid w:val="00504BC9"/>
    <w:rPr>
      <w:smallCaps/>
      <w:color w:val="595959"/>
    </w:rPr>
  </w:style>
  <w:style w:type="character" w:styleId="IntenseReference">
    <w:name w:val="Intense Reference"/>
    <w:uiPriority w:val="32"/>
    <w:qFormat/>
    <w:rsid w:val="00504BC9"/>
    <w:rPr>
      <w:b/>
      <w:bCs/>
      <w:smallCaps/>
      <w:color w:val="70AD47"/>
    </w:rPr>
  </w:style>
  <w:style w:type="character" w:styleId="BookTitle">
    <w:name w:val="Book Title"/>
    <w:uiPriority w:val="33"/>
    <w:qFormat/>
    <w:rsid w:val="00504BC9"/>
    <w:rPr>
      <w:b/>
      <w:bCs/>
      <w:caps w:val="0"/>
      <w:smallCaps/>
      <w:spacing w:val="7"/>
      <w:sz w:val="21"/>
      <w:szCs w:val="21"/>
    </w:rPr>
  </w:style>
  <w:style w:type="paragraph" w:styleId="TOCHeading">
    <w:name w:val="TOC Heading"/>
    <w:basedOn w:val="Heading1"/>
    <w:next w:val="Normal"/>
    <w:uiPriority w:val="39"/>
    <w:semiHidden/>
    <w:unhideWhenUsed/>
    <w:qFormat/>
    <w:rsid w:val="00504BC9"/>
    <w:pPr>
      <w:outlineLvl w:val="9"/>
    </w:pPr>
  </w:style>
  <w:style w:type="paragraph" w:customStyle="1" w:styleId="Form">
    <w:name w:val="Form"/>
    <w:basedOn w:val="Normal"/>
    <w:link w:val="FormChar"/>
    <w:rsid w:val="00BE76A4"/>
    <w:pPr>
      <w:tabs>
        <w:tab w:val="left" w:pos="1440"/>
        <w:tab w:val="left" w:pos="2160"/>
        <w:tab w:val="left" w:pos="2880"/>
        <w:tab w:val="right" w:pos="7200"/>
      </w:tabs>
      <w:autoSpaceDE w:val="0"/>
      <w:autoSpaceDN w:val="0"/>
      <w:spacing w:before="80" w:after="80" w:line="264" w:lineRule="auto"/>
      <w:ind w:firstLine="720"/>
      <w:jc w:val="both"/>
    </w:pPr>
    <w:rPr>
      <w:rFonts w:ascii=".VnTime" w:hAnsi=".VnTime"/>
      <w:sz w:val="28"/>
      <w:szCs w:val="28"/>
      <w:lang w:val="en-GB" w:eastAsia="x-none"/>
    </w:rPr>
  </w:style>
  <w:style w:type="character" w:customStyle="1" w:styleId="FormChar">
    <w:name w:val="Form Char"/>
    <w:link w:val="Form"/>
    <w:rsid w:val="00BE76A4"/>
    <w:rPr>
      <w:rFonts w:ascii=".VnTime" w:eastAsia="Times New Roman" w:hAnsi=".VnTime" w:cs="Times New Roman"/>
      <w:szCs w:val="28"/>
      <w:lang w:val="en-GB" w:eastAsia="x-none"/>
    </w:rPr>
  </w:style>
  <w:style w:type="character" w:customStyle="1" w:styleId="fontstyle01">
    <w:name w:val="fontstyle01"/>
    <w:rsid w:val="00BE76A4"/>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BE76A4"/>
    <w:pPr>
      <w:tabs>
        <w:tab w:val="center" w:pos="4680"/>
        <w:tab w:val="right" w:pos="9360"/>
      </w:tabs>
    </w:pPr>
  </w:style>
  <w:style w:type="character" w:customStyle="1" w:styleId="HeaderChar">
    <w:name w:val="Header Char"/>
    <w:basedOn w:val="DefaultParagraphFont"/>
    <w:link w:val="Header"/>
    <w:uiPriority w:val="99"/>
    <w:rsid w:val="00BE76A4"/>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9D5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5F"/>
    <w:rPr>
      <w:rFonts w:ascii="Segoe UI" w:eastAsia="Times New Roman" w:hAnsi="Segoe UI" w:cs="Segoe UI"/>
      <w:sz w:val="18"/>
      <w:szCs w:val="18"/>
      <w:lang w:val="vi-VN" w:eastAsia="vi-VN"/>
    </w:rPr>
  </w:style>
  <w:style w:type="character" w:customStyle="1" w:styleId="fontstyle21">
    <w:name w:val="fontstyle21"/>
    <w:basedOn w:val="DefaultParagraphFont"/>
    <w:rsid w:val="00EF565A"/>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sid w:val="00CB0D48"/>
    <w:rPr>
      <w:color w:val="0000FF"/>
      <w:u w:val="single"/>
    </w:rPr>
  </w:style>
  <w:style w:type="paragraph" w:customStyle="1" w:styleId="nqtitle">
    <w:name w:val="nqtitle"/>
    <w:basedOn w:val="Normal"/>
    <w:rsid w:val="0009075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10955">
      <w:bodyDiv w:val="1"/>
      <w:marLeft w:val="0"/>
      <w:marRight w:val="0"/>
      <w:marTop w:val="0"/>
      <w:marBottom w:val="0"/>
      <w:divBdr>
        <w:top w:val="none" w:sz="0" w:space="0" w:color="auto"/>
        <w:left w:val="none" w:sz="0" w:space="0" w:color="auto"/>
        <w:bottom w:val="none" w:sz="0" w:space="0" w:color="auto"/>
        <w:right w:val="none" w:sz="0" w:space="0" w:color="auto"/>
      </w:divBdr>
      <w:divsChild>
        <w:div w:id="1410349014">
          <w:marLeft w:val="75"/>
          <w:marRight w:val="0"/>
          <w:marTop w:val="0"/>
          <w:marBottom w:val="0"/>
          <w:divBdr>
            <w:top w:val="none" w:sz="0" w:space="0" w:color="auto"/>
            <w:left w:val="none" w:sz="0" w:space="0" w:color="auto"/>
            <w:bottom w:val="none" w:sz="0" w:space="0" w:color="auto"/>
            <w:right w:val="none" w:sz="0" w:space="0" w:color="auto"/>
          </w:divBdr>
        </w:div>
        <w:div w:id="52247866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18</Pages>
  <Words>5368</Words>
  <Characters>30600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This PC</cp:lastModifiedBy>
  <cp:revision>76</cp:revision>
  <cp:lastPrinted>2021-10-11T01:34:00Z</cp:lastPrinted>
  <dcterms:created xsi:type="dcterms:W3CDTF">2021-10-09T04:20:00Z</dcterms:created>
  <dcterms:modified xsi:type="dcterms:W3CDTF">2021-10-12T09:33:00Z</dcterms:modified>
</cp:coreProperties>
</file>