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CellMar>
          <w:left w:w="0" w:type="dxa"/>
          <w:right w:w="0" w:type="dxa"/>
        </w:tblCellMar>
        <w:tblLook w:val="00A0"/>
      </w:tblPr>
      <w:tblGrid>
        <w:gridCol w:w="3348"/>
        <w:gridCol w:w="6399"/>
      </w:tblGrid>
      <w:tr w:rsidR="00855F1E" w:rsidRPr="0025020C">
        <w:tc>
          <w:tcPr>
            <w:tcW w:w="3348" w:type="dxa"/>
            <w:shd w:val="clear" w:color="auto" w:fill="FFFFFF"/>
            <w:tcMar>
              <w:top w:w="0" w:type="dxa"/>
              <w:left w:w="108" w:type="dxa"/>
              <w:bottom w:w="0" w:type="dxa"/>
              <w:right w:w="108" w:type="dxa"/>
            </w:tcMar>
          </w:tcPr>
          <w:p w:rsidR="00855F1E" w:rsidRPr="008C1FBA" w:rsidRDefault="00855F1E" w:rsidP="0003733D">
            <w:pPr>
              <w:spacing w:after="0"/>
              <w:jc w:val="center"/>
              <w:rPr>
                <w:color w:val="000000"/>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1.45pt;margin-top:41.55pt;width:111pt;height:.75pt;z-index:251658240" o:connectortype="straight"/>
              </w:pict>
            </w:r>
            <w:r w:rsidRPr="008C1FBA">
              <w:rPr>
                <w:b/>
                <w:bCs/>
                <w:color w:val="000000"/>
                <w:sz w:val="28"/>
                <w:szCs w:val="28"/>
              </w:rPr>
              <w:t>HỘI ĐỒNG NHÂN DÂN</w:t>
            </w:r>
            <w:r w:rsidRPr="008C1FBA">
              <w:rPr>
                <w:b/>
                <w:bCs/>
                <w:color w:val="000000"/>
                <w:sz w:val="28"/>
                <w:szCs w:val="28"/>
              </w:rPr>
              <w:br/>
              <w:t>TỈNH QUẢNG TRỊ</w:t>
            </w:r>
            <w:r w:rsidRPr="008C1FBA">
              <w:rPr>
                <w:b/>
                <w:bCs/>
                <w:color w:val="000000"/>
                <w:sz w:val="28"/>
                <w:szCs w:val="28"/>
              </w:rPr>
              <w:br/>
            </w:r>
          </w:p>
        </w:tc>
        <w:tc>
          <w:tcPr>
            <w:tcW w:w="6399" w:type="dxa"/>
            <w:shd w:val="clear" w:color="auto" w:fill="FFFFFF"/>
            <w:tcMar>
              <w:top w:w="0" w:type="dxa"/>
              <w:left w:w="108" w:type="dxa"/>
              <w:bottom w:w="0" w:type="dxa"/>
              <w:right w:w="108" w:type="dxa"/>
            </w:tcMar>
          </w:tcPr>
          <w:p w:rsidR="00855F1E" w:rsidRPr="008C1FBA" w:rsidRDefault="00855F1E" w:rsidP="0003733D">
            <w:pPr>
              <w:spacing w:after="0"/>
              <w:jc w:val="center"/>
              <w:rPr>
                <w:color w:val="000000"/>
                <w:sz w:val="28"/>
                <w:szCs w:val="28"/>
              </w:rPr>
            </w:pPr>
            <w:r>
              <w:rPr>
                <w:noProof/>
              </w:rPr>
              <w:pict>
                <v:shape id="_x0000_s1027" type="#_x0000_t32" style="position:absolute;left:0;text-align:left;margin-left:70.05pt;margin-top:40.8pt;width:162.75pt;height:.75pt;z-index:251659264;mso-position-horizontal-relative:text;mso-position-vertical-relative:text" o:connectortype="straight"/>
              </w:pict>
            </w:r>
            <w:r w:rsidRPr="008C1FBA">
              <w:rPr>
                <w:b/>
                <w:bCs/>
                <w:color w:val="000000"/>
                <w:sz w:val="28"/>
                <w:szCs w:val="28"/>
              </w:rPr>
              <w:t>CỘNG HÒA XÃ HỘI CHỦ NGHĨA VIỆT NAM</w:t>
            </w:r>
            <w:r w:rsidRPr="008C1FBA">
              <w:rPr>
                <w:b/>
                <w:bCs/>
                <w:color w:val="000000"/>
                <w:sz w:val="28"/>
                <w:szCs w:val="28"/>
              </w:rPr>
              <w:br/>
              <w:t>Độc lập - Tự do - Hạnh phúc </w:t>
            </w:r>
            <w:r w:rsidRPr="008C1FBA">
              <w:rPr>
                <w:b/>
                <w:bCs/>
                <w:color w:val="000000"/>
                <w:sz w:val="28"/>
                <w:szCs w:val="28"/>
              </w:rPr>
              <w:br/>
            </w:r>
          </w:p>
        </w:tc>
      </w:tr>
      <w:tr w:rsidR="00855F1E" w:rsidRPr="0025020C">
        <w:tc>
          <w:tcPr>
            <w:tcW w:w="3348" w:type="dxa"/>
            <w:shd w:val="clear" w:color="auto" w:fill="FFFFFF"/>
            <w:tcMar>
              <w:top w:w="0" w:type="dxa"/>
              <w:left w:w="108" w:type="dxa"/>
              <w:bottom w:w="0" w:type="dxa"/>
              <w:right w:w="108" w:type="dxa"/>
            </w:tcMar>
          </w:tcPr>
          <w:p w:rsidR="00855F1E" w:rsidRPr="008C1FBA" w:rsidRDefault="00855F1E">
            <w:pPr>
              <w:spacing w:after="0"/>
              <w:jc w:val="center"/>
              <w:rPr>
                <w:color w:val="000000"/>
                <w:sz w:val="28"/>
                <w:szCs w:val="28"/>
              </w:rPr>
            </w:pPr>
            <w:r w:rsidRPr="008C1FBA">
              <w:rPr>
                <w:color w:val="000000"/>
                <w:sz w:val="28"/>
                <w:szCs w:val="28"/>
              </w:rPr>
              <w:t xml:space="preserve">Số: </w:t>
            </w:r>
            <w:r>
              <w:rPr>
                <w:color w:val="000000"/>
                <w:sz w:val="28"/>
                <w:szCs w:val="28"/>
              </w:rPr>
              <w:t xml:space="preserve">    </w:t>
            </w:r>
            <w:r w:rsidRPr="008C1FBA">
              <w:rPr>
                <w:color w:val="000000"/>
                <w:sz w:val="28"/>
                <w:szCs w:val="28"/>
              </w:rPr>
              <w:t>/2017/ NQ-HĐND</w:t>
            </w:r>
          </w:p>
        </w:tc>
        <w:tc>
          <w:tcPr>
            <w:tcW w:w="6399" w:type="dxa"/>
            <w:shd w:val="clear" w:color="auto" w:fill="FFFFFF"/>
            <w:tcMar>
              <w:top w:w="0" w:type="dxa"/>
              <w:left w:w="108" w:type="dxa"/>
              <w:bottom w:w="0" w:type="dxa"/>
              <w:right w:w="108" w:type="dxa"/>
            </w:tcMar>
          </w:tcPr>
          <w:p w:rsidR="00855F1E" w:rsidRPr="008C1FBA" w:rsidRDefault="00855F1E">
            <w:pPr>
              <w:spacing w:after="0"/>
              <w:jc w:val="right"/>
              <w:rPr>
                <w:color w:val="000000"/>
                <w:sz w:val="28"/>
                <w:szCs w:val="28"/>
              </w:rPr>
            </w:pPr>
            <w:r w:rsidRPr="008C1FBA">
              <w:rPr>
                <w:i/>
                <w:iCs/>
                <w:color w:val="000000"/>
                <w:sz w:val="28"/>
                <w:szCs w:val="28"/>
              </w:rPr>
              <w:t>Quảng Trị, ngày    tháng    năm 2017</w:t>
            </w:r>
          </w:p>
        </w:tc>
      </w:tr>
    </w:tbl>
    <w:p w:rsidR="00855F1E" w:rsidRPr="008C1FBA" w:rsidRDefault="00855F1E" w:rsidP="00491DFF">
      <w:pPr>
        <w:shd w:val="clear" w:color="auto" w:fill="FFFFFF"/>
        <w:spacing w:before="0" w:after="0"/>
        <w:rPr>
          <w:color w:val="000000"/>
          <w:sz w:val="28"/>
          <w:szCs w:val="28"/>
        </w:rPr>
      </w:pPr>
      <w:r>
        <w:rPr>
          <w:noProof/>
        </w:rPr>
        <w:pict>
          <v:rect id="_x0000_s1028" style="position:absolute;margin-left:-19.05pt;margin-top:6.4pt;width:93.75pt;height:33.75pt;z-index:251660288;mso-position-horizontal-relative:text;mso-position-vertical-relative:text">
            <v:textbox>
              <w:txbxContent>
                <w:p w:rsidR="00855F1E" w:rsidRPr="008C1FBA" w:rsidRDefault="00855F1E" w:rsidP="0003733D">
                  <w:pPr>
                    <w:rPr>
                      <w:b/>
                      <w:bCs/>
                      <w:sz w:val="28"/>
                      <w:szCs w:val="28"/>
                    </w:rPr>
                  </w:pPr>
                  <w:r w:rsidRPr="008C1FBA">
                    <w:rPr>
                      <w:color w:val="000000"/>
                      <w:sz w:val="28"/>
                      <w:szCs w:val="28"/>
                    </w:rPr>
                    <w:t> </w:t>
                  </w:r>
                  <w:r w:rsidRPr="008C1FBA">
                    <w:rPr>
                      <w:b/>
                      <w:bCs/>
                      <w:sz w:val="28"/>
                      <w:szCs w:val="28"/>
                    </w:rPr>
                    <w:t>DỰ THẢO</w:t>
                  </w:r>
                </w:p>
                <w:p w:rsidR="00855F1E" w:rsidRDefault="00855F1E"/>
              </w:txbxContent>
            </v:textbox>
          </v:rect>
        </w:pict>
      </w:r>
    </w:p>
    <w:p w:rsidR="00855F1E" w:rsidRDefault="00855F1E" w:rsidP="00491DFF">
      <w:pPr>
        <w:shd w:val="clear" w:color="auto" w:fill="FFFFFF"/>
        <w:spacing w:after="0"/>
        <w:jc w:val="center"/>
        <w:rPr>
          <w:b/>
          <w:bCs/>
          <w:color w:val="000000"/>
          <w:sz w:val="28"/>
          <w:szCs w:val="28"/>
        </w:rPr>
      </w:pPr>
    </w:p>
    <w:p w:rsidR="00855F1E" w:rsidRPr="008C1FBA" w:rsidRDefault="00855F1E" w:rsidP="00491DFF">
      <w:pPr>
        <w:shd w:val="clear" w:color="auto" w:fill="FFFFFF"/>
        <w:spacing w:after="0"/>
        <w:jc w:val="center"/>
        <w:rPr>
          <w:color w:val="000000"/>
          <w:sz w:val="28"/>
          <w:szCs w:val="28"/>
        </w:rPr>
      </w:pPr>
      <w:r w:rsidRPr="008C1FBA">
        <w:rPr>
          <w:b/>
          <w:bCs/>
          <w:color w:val="000000"/>
          <w:sz w:val="28"/>
          <w:szCs w:val="28"/>
        </w:rPr>
        <w:t>NGHỊ QUYẾT</w:t>
      </w:r>
    </w:p>
    <w:p w:rsidR="00855F1E" w:rsidRPr="008C1FBA" w:rsidRDefault="00855F1E" w:rsidP="00491DFF">
      <w:pPr>
        <w:shd w:val="clear" w:color="auto" w:fill="FFFFFF"/>
        <w:spacing w:after="0"/>
        <w:jc w:val="center"/>
        <w:rPr>
          <w:color w:val="000000"/>
          <w:sz w:val="28"/>
          <w:szCs w:val="28"/>
        </w:rPr>
      </w:pPr>
      <w:r w:rsidRPr="008C1FBA">
        <w:rPr>
          <w:color w:val="000000"/>
          <w:sz w:val="28"/>
          <w:szCs w:val="28"/>
        </w:rPr>
        <w:t>VỀ GIÁ DỊCH VỤ KHÁM BỆNH, CHỮA BỆNH TRONG CÁC CƠ SỞ Y TẾ NHÀ NƯỚC TRÊN ĐỊA BÀN TỈNH QUẢNG TRỊ</w:t>
      </w:r>
    </w:p>
    <w:p w:rsidR="00855F1E" w:rsidRPr="008C1FBA" w:rsidRDefault="00855F1E" w:rsidP="00491DFF">
      <w:pPr>
        <w:shd w:val="clear" w:color="auto" w:fill="FFFFFF"/>
        <w:spacing w:after="0"/>
        <w:jc w:val="center"/>
        <w:rPr>
          <w:color w:val="000000"/>
          <w:sz w:val="28"/>
          <w:szCs w:val="28"/>
        </w:rPr>
      </w:pPr>
      <w:r w:rsidRPr="008C1FBA">
        <w:rPr>
          <w:b/>
          <w:bCs/>
          <w:color w:val="000000"/>
          <w:sz w:val="28"/>
          <w:szCs w:val="28"/>
        </w:rPr>
        <w:t>HỘI ĐỒNG NHÂN DÂN TỈNH QUẢNG TRỊ</w:t>
      </w:r>
      <w:r w:rsidRPr="008C1FBA">
        <w:rPr>
          <w:b/>
          <w:bCs/>
          <w:color w:val="000000"/>
          <w:sz w:val="28"/>
          <w:szCs w:val="28"/>
        </w:rPr>
        <w:br/>
        <w:t>KHÓA VI, KỲ HỌP THỨ 6</w:t>
      </w:r>
    </w:p>
    <w:p w:rsidR="00855F1E" w:rsidRPr="008C1FBA" w:rsidRDefault="00855F1E" w:rsidP="008C1FBA">
      <w:pPr>
        <w:shd w:val="clear" w:color="auto" w:fill="FFFFFF"/>
        <w:spacing w:after="0"/>
        <w:ind w:firstLine="720"/>
        <w:rPr>
          <w:color w:val="000000"/>
          <w:sz w:val="28"/>
          <w:szCs w:val="28"/>
        </w:rPr>
      </w:pPr>
      <w:r w:rsidRPr="008C1FBA">
        <w:rPr>
          <w:color w:val="000000"/>
          <w:sz w:val="28"/>
          <w:szCs w:val="28"/>
        </w:rPr>
        <w:t>Căn cứ Luật Tổ chức chính quyền địa phương ngày 19/6/2015;</w:t>
      </w:r>
    </w:p>
    <w:p w:rsidR="00855F1E" w:rsidRPr="008C1FBA" w:rsidRDefault="00855F1E" w:rsidP="008C1FBA">
      <w:pPr>
        <w:shd w:val="clear" w:color="auto" w:fill="FFFFFF"/>
        <w:spacing w:after="0"/>
        <w:ind w:firstLine="720"/>
        <w:rPr>
          <w:color w:val="000000"/>
          <w:sz w:val="28"/>
          <w:szCs w:val="28"/>
        </w:rPr>
      </w:pPr>
      <w:r w:rsidRPr="008C1FBA">
        <w:rPr>
          <w:color w:val="000000"/>
          <w:sz w:val="28"/>
          <w:szCs w:val="28"/>
        </w:rPr>
        <w:t>Căn cứ Luật Ban hành văn bản quy phạm pháp luật ngày 22/6/2015;</w:t>
      </w:r>
    </w:p>
    <w:p w:rsidR="00855F1E" w:rsidRPr="008C1FBA" w:rsidRDefault="00855F1E" w:rsidP="008C1FBA">
      <w:pPr>
        <w:spacing w:before="0" w:after="0" w:line="288" w:lineRule="auto"/>
        <w:ind w:firstLine="720"/>
        <w:jc w:val="both"/>
        <w:rPr>
          <w:sz w:val="28"/>
          <w:szCs w:val="28"/>
        </w:rPr>
      </w:pPr>
      <w:r>
        <w:rPr>
          <w:sz w:val="28"/>
          <w:szCs w:val="28"/>
        </w:rPr>
        <w:t xml:space="preserve">Căn cứ </w:t>
      </w:r>
      <w:r w:rsidRPr="008C1FBA">
        <w:rPr>
          <w:sz w:val="28"/>
          <w:szCs w:val="28"/>
        </w:rPr>
        <w:t>Luật Khám, chữa bệnh; Luật giá</w:t>
      </w:r>
    </w:p>
    <w:p w:rsidR="00855F1E" w:rsidRPr="008C1FBA" w:rsidRDefault="00855F1E" w:rsidP="008C1FBA">
      <w:pPr>
        <w:spacing w:before="0" w:after="0" w:line="288" w:lineRule="auto"/>
        <w:ind w:firstLine="720"/>
        <w:jc w:val="both"/>
        <w:rPr>
          <w:sz w:val="28"/>
          <w:szCs w:val="28"/>
        </w:rPr>
      </w:pPr>
      <w:r>
        <w:rPr>
          <w:sz w:val="28"/>
          <w:szCs w:val="28"/>
        </w:rPr>
        <w:t>Căn cứ N</w:t>
      </w:r>
      <w:r w:rsidRPr="008C1FBA">
        <w:rPr>
          <w:sz w:val="28"/>
          <w:szCs w:val="28"/>
        </w:rPr>
        <w:t>ghị định số 85/2012/NĐ-CP ngày 15/10/2012 của Chính phủ về cơ chế hoạt động, cơ chế tài chính đối với các đơn vị sự nghiệp công lập và giá dịch vụ khám bệnh, chữa bệnh của các đơn vị khám bệnh, chữa b</w:t>
      </w:r>
      <w:r>
        <w:rPr>
          <w:sz w:val="28"/>
          <w:szCs w:val="28"/>
        </w:rPr>
        <w:t>ệ</w:t>
      </w:r>
      <w:r w:rsidRPr="008C1FBA">
        <w:rPr>
          <w:sz w:val="28"/>
          <w:szCs w:val="28"/>
        </w:rPr>
        <w:t>nh công lập.</w:t>
      </w:r>
    </w:p>
    <w:p w:rsidR="00855F1E" w:rsidRPr="008C1FBA" w:rsidRDefault="00855F1E" w:rsidP="008C1FBA">
      <w:pPr>
        <w:spacing w:before="0" w:after="0" w:line="288" w:lineRule="auto"/>
        <w:ind w:firstLine="720"/>
        <w:jc w:val="both"/>
        <w:rPr>
          <w:sz w:val="28"/>
          <w:szCs w:val="28"/>
        </w:rPr>
      </w:pPr>
      <w:r>
        <w:rPr>
          <w:sz w:val="28"/>
          <w:szCs w:val="28"/>
        </w:rPr>
        <w:t xml:space="preserve">Căn cứ </w:t>
      </w:r>
      <w:r w:rsidRPr="008C1FBA">
        <w:rPr>
          <w:sz w:val="28"/>
          <w:szCs w:val="28"/>
        </w:rPr>
        <w:t>Nghị định số 16/2015/NĐ-CP ngày 14/02/2015 của Chính phủ quy định cơ chế tự chủ của đơn vị sự nghiệp công lập.</w:t>
      </w:r>
    </w:p>
    <w:p w:rsidR="00855F1E" w:rsidRPr="008C1FBA" w:rsidRDefault="00855F1E" w:rsidP="008C1FBA">
      <w:pPr>
        <w:spacing w:before="0" w:after="0" w:line="288" w:lineRule="auto"/>
        <w:ind w:firstLine="720"/>
        <w:jc w:val="both"/>
        <w:rPr>
          <w:sz w:val="28"/>
          <w:szCs w:val="28"/>
        </w:rPr>
      </w:pPr>
      <w:r>
        <w:rPr>
          <w:sz w:val="28"/>
          <w:szCs w:val="28"/>
        </w:rPr>
        <w:t xml:space="preserve">Căn cứ </w:t>
      </w:r>
      <w:r w:rsidRPr="008C1FBA">
        <w:rPr>
          <w:sz w:val="28"/>
          <w:szCs w:val="28"/>
        </w:rPr>
        <w:t>Thông tư 37/TTLT-BYT-BTC ngày 29/10/2015 của Liên Bộ Y tế – Bộ Tài chính quy định thống nhất giá dịch vụ khám bệnh, chữa bệnh bảo hiểm y tế giữa các bệnh viện cùng hạng trên toàn quốc.</w:t>
      </w:r>
    </w:p>
    <w:p w:rsidR="00855F1E" w:rsidRPr="008C1FBA" w:rsidRDefault="00855F1E" w:rsidP="0003733D">
      <w:pPr>
        <w:spacing w:after="0" w:line="288" w:lineRule="auto"/>
        <w:ind w:firstLine="720"/>
        <w:jc w:val="both"/>
        <w:rPr>
          <w:sz w:val="28"/>
          <w:szCs w:val="28"/>
        </w:rPr>
      </w:pPr>
      <w:r>
        <w:rPr>
          <w:color w:val="000000"/>
          <w:sz w:val="28"/>
          <w:szCs w:val="28"/>
        </w:rPr>
        <w:t xml:space="preserve">Căn cứ </w:t>
      </w:r>
      <w:r w:rsidRPr="008C1FBA">
        <w:rPr>
          <w:color w:val="000000"/>
          <w:sz w:val="28"/>
          <w:szCs w:val="28"/>
        </w:rPr>
        <w:t>Thông tư 02/2017/TT-BYT ngày 15/3/2017 của Bộ Y tế về việc Quy định mức giá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 và công văn số 2334/BYT-KH-TC ngày 05/5/2017 hướng dẫn thực hiện Thông tư 02/2017/TT-BYT.</w:t>
      </w:r>
    </w:p>
    <w:p w:rsidR="00855F1E" w:rsidRPr="008C1FBA" w:rsidRDefault="00855F1E" w:rsidP="0003733D">
      <w:pPr>
        <w:spacing w:after="0" w:line="288" w:lineRule="auto"/>
        <w:ind w:firstLine="720"/>
        <w:jc w:val="both"/>
        <w:rPr>
          <w:sz w:val="28"/>
          <w:szCs w:val="28"/>
        </w:rPr>
      </w:pPr>
      <w:r w:rsidRPr="008C1FBA">
        <w:rPr>
          <w:sz w:val="28"/>
          <w:szCs w:val="28"/>
        </w:rPr>
        <w:t>Căn cứ vào tình hình thực hiện chính sách BHYT, công tác khám, chữa bệnh trên địa bàn tỉnh Quảng Trị.</w:t>
      </w:r>
    </w:p>
    <w:p w:rsidR="00855F1E" w:rsidRPr="00A82C22" w:rsidRDefault="00855F1E" w:rsidP="0003733D">
      <w:pPr>
        <w:shd w:val="clear" w:color="auto" w:fill="FFFFFF"/>
        <w:spacing w:after="0" w:line="288" w:lineRule="auto"/>
        <w:ind w:firstLine="720"/>
        <w:jc w:val="both"/>
        <w:rPr>
          <w:color w:val="000000"/>
          <w:sz w:val="28"/>
          <w:szCs w:val="28"/>
        </w:rPr>
      </w:pPr>
      <w:r w:rsidRPr="00A82C22">
        <w:rPr>
          <w:color w:val="000000"/>
          <w:sz w:val="28"/>
          <w:szCs w:val="28"/>
        </w:rPr>
        <w:t>Xét Tờ trình số</w:t>
      </w:r>
      <w:hyperlink r:id="rId5" w:tgtFrame="_blank" w:history="1">
        <w:r w:rsidRPr="00A82C22">
          <w:rPr>
            <w:rStyle w:val="Hyperlink"/>
            <w:color w:val="000000"/>
            <w:sz w:val="28"/>
            <w:szCs w:val="28"/>
            <w:u w:val="none"/>
          </w:rPr>
          <w:t> …./TTr-UBND</w:t>
        </w:r>
      </w:hyperlink>
      <w:r w:rsidRPr="00A82C22">
        <w:rPr>
          <w:color w:val="000000"/>
          <w:sz w:val="28"/>
          <w:szCs w:val="28"/>
        </w:rPr>
        <w:t xml:space="preserve"> ngày …. tháng ….. năm 2017 về thực hiện giá dịch vụ khám bệnh, chữa bệnh áp dụng cho các đối tượng không do Quỹ bảo hiểm y tế chi trả trong các cơ sở y tế </w:t>
      </w:r>
      <w:r>
        <w:rPr>
          <w:color w:val="000000"/>
          <w:sz w:val="28"/>
          <w:szCs w:val="28"/>
        </w:rPr>
        <w:t xml:space="preserve">của </w:t>
      </w:r>
      <w:r w:rsidRPr="00A82C22">
        <w:rPr>
          <w:color w:val="000000"/>
          <w:sz w:val="28"/>
          <w:szCs w:val="28"/>
        </w:rPr>
        <w:t>nhà nước trên địa bàn tỉnh Qu</w:t>
      </w:r>
      <w:r>
        <w:rPr>
          <w:color w:val="000000"/>
          <w:sz w:val="28"/>
          <w:szCs w:val="28"/>
        </w:rPr>
        <w:t>ảng Trị; Báo cáo thẩm tra số …./</w:t>
      </w:r>
      <w:r w:rsidRPr="00A82C22">
        <w:rPr>
          <w:color w:val="000000"/>
          <w:sz w:val="28"/>
          <w:szCs w:val="28"/>
        </w:rPr>
        <w:t>BC-HĐND ngày…tháng… năm 2017 của Ban Văn hóa - Xã hội HĐND tỉnh và ý kiến của đại biểu HĐND tỉnh,</w:t>
      </w:r>
    </w:p>
    <w:p w:rsidR="00855F1E" w:rsidRPr="008C1FBA" w:rsidRDefault="00855F1E" w:rsidP="0003733D">
      <w:pPr>
        <w:shd w:val="clear" w:color="auto" w:fill="FFFFFF"/>
        <w:spacing w:after="0" w:line="288" w:lineRule="auto"/>
        <w:jc w:val="center"/>
        <w:rPr>
          <w:color w:val="000000"/>
          <w:sz w:val="28"/>
          <w:szCs w:val="28"/>
        </w:rPr>
      </w:pPr>
      <w:r w:rsidRPr="008C1FBA">
        <w:rPr>
          <w:b/>
          <w:bCs/>
          <w:color w:val="000000"/>
          <w:sz w:val="28"/>
          <w:szCs w:val="28"/>
        </w:rPr>
        <w:t>QUYẾT NGHỊ:</w:t>
      </w:r>
    </w:p>
    <w:p w:rsidR="00855F1E" w:rsidRPr="008C1FBA" w:rsidRDefault="00855F1E" w:rsidP="0003733D">
      <w:pPr>
        <w:shd w:val="clear" w:color="auto" w:fill="FFFFFF"/>
        <w:spacing w:after="0" w:line="288" w:lineRule="auto"/>
        <w:ind w:firstLine="720"/>
        <w:jc w:val="both"/>
        <w:rPr>
          <w:color w:val="000000"/>
          <w:sz w:val="28"/>
          <w:szCs w:val="28"/>
        </w:rPr>
      </w:pPr>
      <w:r w:rsidRPr="008C1FBA">
        <w:rPr>
          <w:b/>
          <w:bCs/>
          <w:color w:val="000000"/>
          <w:sz w:val="28"/>
          <w:szCs w:val="28"/>
        </w:rPr>
        <w:t>Điều 1.</w:t>
      </w:r>
      <w:r w:rsidRPr="008C1FBA">
        <w:rPr>
          <w:color w:val="000000"/>
          <w:sz w:val="28"/>
          <w:szCs w:val="28"/>
        </w:rPr>
        <w:t> Thông qua giá dịch vụ khám bệnh, chữa bệnh trong các cơ sở y tế Nhà nước trên địa bàn tỉnh Quảng Trị như sau:</w:t>
      </w:r>
    </w:p>
    <w:p w:rsidR="00855F1E" w:rsidRPr="008C1FBA" w:rsidRDefault="00855F1E" w:rsidP="0003733D">
      <w:pPr>
        <w:shd w:val="clear" w:color="auto" w:fill="FFFFFF"/>
        <w:spacing w:after="0" w:line="288" w:lineRule="auto"/>
        <w:ind w:firstLine="720"/>
        <w:jc w:val="both"/>
        <w:rPr>
          <w:color w:val="000000"/>
          <w:sz w:val="28"/>
          <w:szCs w:val="28"/>
        </w:rPr>
      </w:pPr>
      <w:r>
        <w:rPr>
          <w:color w:val="000000"/>
          <w:sz w:val="28"/>
          <w:szCs w:val="28"/>
        </w:rPr>
        <w:t xml:space="preserve"> Áp dụng </w:t>
      </w:r>
      <w:r w:rsidRPr="008C1FBA">
        <w:rPr>
          <w:color w:val="000000"/>
          <w:sz w:val="28"/>
          <w:szCs w:val="28"/>
        </w:rPr>
        <w:t xml:space="preserve">khung giá dịch vụ khám bệnh, chữa bệnh </w:t>
      </w:r>
      <w:r>
        <w:rPr>
          <w:color w:val="000000"/>
          <w:sz w:val="28"/>
          <w:szCs w:val="28"/>
        </w:rPr>
        <w:t xml:space="preserve">cho các đối tượng không thuộc phạm vi chi trả của Quỹ Bảo hiểm Y tế sử dụng dịch vụ khám bệnh, chữa bệnh tại các cơ sở y tế của nhà nước. Mức giá các dịch vụ theo phụ lục danh mục đính kèm. </w:t>
      </w:r>
    </w:p>
    <w:p w:rsidR="00855F1E" w:rsidRPr="008C1FBA" w:rsidRDefault="00855F1E" w:rsidP="0003733D">
      <w:pPr>
        <w:shd w:val="clear" w:color="auto" w:fill="FFFFFF"/>
        <w:spacing w:after="0" w:line="288" w:lineRule="auto"/>
        <w:jc w:val="both"/>
        <w:rPr>
          <w:color w:val="000000"/>
          <w:sz w:val="28"/>
          <w:szCs w:val="28"/>
        </w:rPr>
      </w:pPr>
      <w:r w:rsidRPr="008C1FBA">
        <w:rPr>
          <w:i/>
          <w:iCs/>
          <w:color w:val="000000"/>
          <w:sz w:val="28"/>
          <w:szCs w:val="28"/>
        </w:rPr>
        <w:t>(Có danh mục trong các Phụ lục I, II, III kèm theo)</w:t>
      </w:r>
    </w:p>
    <w:p w:rsidR="00855F1E" w:rsidRPr="008C1FBA" w:rsidRDefault="00855F1E" w:rsidP="0003733D">
      <w:pPr>
        <w:shd w:val="clear" w:color="auto" w:fill="FFFFFF"/>
        <w:spacing w:after="0" w:line="288" w:lineRule="auto"/>
        <w:ind w:firstLine="720"/>
        <w:jc w:val="both"/>
        <w:rPr>
          <w:color w:val="000000"/>
          <w:sz w:val="28"/>
          <w:szCs w:val="28"/>
        </w:rPr>
      </w:pPr>
      <w:r w:rsidRPr="008C1FBA">
        <w:rPr>
          <w:b/>
          <w:bCs/>
          <w:color w:val="000000"/>
          <w:sz w:val="28"/>
          <w:szCs w:val="28"/>
        </w:rPr>
        <w:t>Điều 2.</w:t>
      </w:r>
      <w:r w:rsidRPr="008C1FBA">
        <w:rPr>
          <w:color w:val="000000"/>
          <w:sz w:val="28"/>
          <w:szCs w:val="28"/>
        </w:rPr>
        <w:t> Giao UBND tỉnh chỉ đạo việc tổ chức thực hiện Nghị quyết.</w:t>
      </w:r>
    </w:p>
    <w:p w:rsidR="00855F1E" w:rsidRPr="008C1FBA" w:rsidRDefault="00855F1E" w:rsidP="0003733D">
      <w:pPr>
        <w:shd w:val="clear" w:color="auto" w:fill="FFFFFF"/>
        <w:spacing w:after="0" w:line="288" w:lineRule="auto"/>
        <w:ind w:firstLine="720"/>
        <w:jc w:val="both"/>
        <w:rPr>
          <w:color w:val="000000"/>
          <w:sz w:val="28"/>
          <w:szCs w:val="28"/>
        </w:rPr>
      </w:pPr>
      <w:r w:rsidRPr="008C1FBA">
        <w:rPr>
          <w:color w:val="000000"/>
          <w:sz w:val="28"/>
          <w:szCs w:val="28"/>
        </w:rPr>
        <w:t>Giao Thường trực HĐND tỉnh, các Ban của HĐND tỉnh, đại biểu HĐND tỉnh phối hợp với Ủy ban MTTQ Việt Nam tỉnh và các tổ chức chính trị xã hội giám sát việc thực hiện Nghị quyết.</w:t>
      </w:r>
    </w:p>
    <w:p w:rsidR="00855F1E" w:rsidRPr="008C1FBA" w:rsidRDefault="00855F1E" w:rsidP="0003733D">
      <w:pPr>
        <w:shd w:val="clear" w:color="auto" w:fill="FFFFFF"/>
        <w:spacing w:after="0" w:line="288" w:lineRule="auto"/>
        <w:ind w:firstLine="720"/>
        <w:jc w:val="both"/>
        <w:rPr>
          <w:color w:val="000000"/>
          <w:sz w:val="28"/>
          <w:szCs w:val="28"/>
        </w:rPr>
      </w:pPr>
      <w:r w:rsidRPr="008C1FBA">
        <w:rPr>
          <w:color w:val="000000"/>
          <w:sz w:val="28"/>
          <w:szCs w:val="28"/>
        </w:rPr>
        <w:t>Nghị quyết này được HĐND tỉnh khóa VI, kỳ họp thứ 6 thông qua ngày    tháng    năm 2017 và có hiệu lực kể từ ngày 01 tháng 8 năm 2017.</w:t>
      </w:r>
    </w:p>
    <w:p w:rsidR="00855F1E" w:rsidRPr="008C1FBA" w:rsidRDefault="00855F1E" w:rsidP="00491DFF">
      <w:pPr>
        <w:shd w:val="clear" w:color="auto" w:fill="FFFFFF"/>
        <w:spacing w:after="0"/>
        <w:rPr>
          <w:color w:val="000000"/>
          <w:sz w:val="28"/>
          <w:szCs w:val="28"/>
        </w:rPr>
      </w:pPr>
      <w:r w:rsidRPr="008C1FBA">
        <w:rPr>
          <w:b/>
          <w:bCs/>
          <w:color w:val="000000"/>
          <w:sz w:val="28"/>
          <w:szCs w:val="28"/>
          <w:lang w:val="fi-FI"/>
        </w:rPr>
        <w:t> </w:t>
      </w:r>
    </w:p>
    <w:tbl>
      <w:tblPr>
        <w:tblW w:w="0" w:type="auto"/>
        <w:tblInd w:w="2" w:type="dxa"/>
        <w:tblCellMar>
          <w:left w:w="0" w:type="dxa"/>
          <w:right w:w="0" w:type="dxa"/>
        </w:tblCellMar>
        <w:tblLook w:val="00A0"/>
      </w:tblPr>
      <w:tblGrid>
        <w:gridCol w:w="5070"/>
        <w:gridCol w:w="4677"/>
      </w:tblGrid>
      <w:tr w:rsidR="00855F1E" w:rsidRPr="0025020C">
        <w:tc>
          <w:tcPr>
            <w:tcW w:w="5070" w:type="dxa"/>
            <w:shd w:val="clear" w:color="auto" w:fill="FFFFFF"/>
            <w:tcMar>
              <w:top w:w="0" w:type="dxa"/>
              <w:left w:w="108" w:type="dxa"/>
              <w:bottom w:w="0" w:type="dxa"/>
              <w:right w:w="108" w:type="dxa"/>
            </w:tcMar>
          </w:tcPr>
          <w:p w:rsidR="00855F1E" w:rsidRPr="008C1FBA" w:rsidRDefault="00855F1E">
            <w:pPr>
              <w:spacing w:after="0"/>
              <w:rPr>
                <w:b/>
                <w:bCs/>
                <w:i/>
                <w:iCs/>
                <w:color w:val="000000"/>
                <w:sz w:val="22"/>
                <w:szCs w:val="22"/>
              </w:rPr>
            </w:pPr>
            <w:r w:rsidRPr="008C1FBA">
              <w:rPr>
                <w:i/>
                <w:iCs/>
                <w:color w:val="000000"/>
                <w:sz w:val="22"/>
                <w:szCs w:val="22"/>
              </w:rPr>
              <w:t> </w:t>
            </w:r>
            <w:r w:rsidRPr="008C1FBA">
              <w:rPr>
                <w:b/>
                <w:bCs/>
                <w:i/>
                <w:iCs/>
                <w:color w:val="000000"/>
                <w:sz w:val="22"/>
                <w:szCs w:val="22"/>
              </w:rPr>
              <w:t>Nơi nhận:</w:t>
            </w:r>
          </w:p>
          <w:p w:rsidR="00855F1E" w:rsidRPr="008C1FBA" w:rsidRDefault="00855F1E" w:rsidP="0003733D">
            <w:pPr>
              <w:spacing w:before="0" w:after="0"/>
              <w:rPr>
                <w:color w:val="000000"/>
                <w:sz w:val="22"/>
                <w:szCs w:val="22"/>
              </w:rPr>
            </w:pPr>
            <w:r w:rsidRPr="008C1FBA">
              <w:rPr>
                <w:color w:val="000000"/>
                <w:sz w:val="22"/>
                <w:szCs w:val="22"/>
              </w:rPr>
              <w:t>- VPQH, VPCP, VPCT nước;</w:t>
            </w:r>
          </w:p>
          <w:p w:rsidR="00855F1E" w:rsidRPr="008C1FBA" w:rsidRDefault="00855F1E" w:rsidP="0003733D">
            <w:pPr>
              <w:spacing w:before="0" w:after="0"/>
              <w:rPr>
                <w:color w:val="000000"/>
                <w:sz w:val="22"/>
                <w:szCs w:val="22"/>
              </w:rPr>
            </w:pPr>
            <w:r w:rsidRPr="008C1FBA">
              <w:rPr>
                <w:color w:val="000000"/>
                <w:sz w:val="22"/>
                <w:szCs w:val="22"/>
              </w:rPr>
              <w:t>- Bộ Y tế, Bộ Tài chính;</w:t>
            </w:r>
          </w:p>
          <w:p w:rsidR="00855F1E" w:rsidRPr="008C1FBA" w:rsidRDefault="00855F1E" w:rsidP="0003733D">
            <w:pPr>
              <w:spacing w:before="0" w:after="0"/>
              <w:rPr>
                <w:color w:val="000000"/>
                <w:sz w:val="22"/>
                <w:szCs w:val="22"/>
              </w:rPr>
            </w:pPr>
            <w:r w:rsidRPr="008C1FBA">
              <w:rPr>
                <w:color w:val="000000"/>
                <w:sz w:val="22"/>
                <w:szCs w:val="22"/>
              </w:rPr>
              <w:t>- Cục KT văn bản (Bộ Tư pháp);</w:t>
            </w:r>
          </w:p>
          <w:p w:rsidR="00855F1E" w:rsidRPr="008C1FBA" w:rsidRDefault="00855F1E" w:rsidP="0003733D">
            <w:pPr>
              <w:spacing w:before="0" w:after="0"/>
              <w:rPr>
                <w:color w:val="000000"/>
                <w:sz w:val="22"/>
                <w:szCs w:val="22"/>
              </w:rPr>
            </w:pPr>
            <w:r w:rsidRPr="008C1FBA">
              <w:rPr>
                <w:color w:val="000000"/>
                <w:sz w:val="22"/>
                <w:szCs w:val="22"/>
              </w:rPr>
              <w:t>- Đoàn ĐBQH tỉnh;</w:t>
            </w:r>
          </w:p>
          <w:p w:rsidR="00855F1E" w:rsidRPr="008C1FBA" w:rsidRDefault="00855F1E" w:rsidP="0003733D">
            <w:pPr>
              <w:spacing w:before="0" w:after="0"/>
              <w:rPr>
                <w:color w:val="000000"/>
                <w:sz w:val="22"/>
                <w:szCs w:val="22"/>
              </w:rPr>
            </w:pPr>
            <w:r w:rsidRPr="008C1FBA">
              <w:rPr>
                <w:color w:val="000000"/>
                <w:sz w:val="22"/>
                <w:szCs w:val="22"/>
              </w:rPr>
              <w:t>- TVTU, TT HĐND tỉnh, UBND tỉnh;</w:t>
            </w:r>
          </w:p>
          <w:p w:rsidR="00855F1E" w:rsidRPr="008C1FBA" w:rsidRDefault="00855F1E" w:rsidP="0003733D">
            <w:pPr>
              <w:spacing w:before="0" w:after="0"/>
              <w:rPr>
                <w:color w:val="000000"/>
                <w:sz w:val="22"/>
                <w:szCs w:val="22"/>
              </w:rPr>
            </w:pPr>
            <w:r w:rsidRPr="008C1FBA">
              <w:rPr>
                <w:color w:val="000000"/>
                <w:sz w:val="22"/>
                <w:szCs w:val="22"/>
              </w:rPr>
              <w:t>- UBMTTQVN tỉnh;</w:t>
            </w:r>
          </w:p>
          <w:p w:rsidR="00855F1E" w:rsidRPr="008C1FBA" w:rsidRDefault="00855F1E" w:rsidP="0003733D">
            <w:pPr>
              <w:spacing w:before="0" w:after="0"/>
              <w:rPr>
                <w:color w:val="000000"/>
                <w:sz w:val="22"/>
                <w:szCs w:val="22"/>
              </w:rPr>
            </w:pPr>
            <w:r w:rsidRPr="008C1FBA">
              <w:rPr>
                <w:color w:val="000000"/>
                <w:sz w:val="22"/>
                <w:szCs w:val="22"/>
              </w:rPr>
              <w:t>-Đại biểu HĐND tỉnh;</w:t>
            </w:r>
          </w:p>
          <w:p w:rsidR="00855F1E" w:rsidRPr="008C1FBA" w:rsidRDefault="00855F1E" w:rsidP="0003733D">
            <w:pPr>
              <w:spacing w:before="0" w:after="0"/>
              <w:rPr>
                <w:color w:val="000000"/>
                <w:sz w:val="22"/>
                <w:szCs w:val="22"/>
              </w:rPr>
            </w:pPr>
            <w:r w:rsidRPr="008C1FBA">
              <w:rPr>
                <w:color w:val="000000"/>
                <w:sz w:val="22"/>
                <w:szCs w:val="22"/>
              </w:rPr>
              <w:t>- VP Tỉnh ủy, VP Đoàn ĐBQH tỉnh, VP HĐND, VP UBND tỉnh;</w:t>
            </w:r>
          </w:p>
          <w:p w:rsidR="00855F1E" w:rsidRPr="008C1FBA" w:rsidRDefault="00855F1E" w:rsidP="0003733D">
            <w:pPr>
              <w:spacing w:before="0" w:after="0"/>
              <w:rPr>
                <w:color w:val="000000"/>
                <w:sz w:val="22"/>
                <w:szCs w:val="22"/>
              </w:rPr>
            </w:pPr>
            <w:r w:rsidRPr="008C1FBA">
              <w:rPr>
                <w:color w:val="000000"/>
                <w:sz w:val="22"/>
                <w:szCs w:val="22"/>
              </w:rPr>
              <w:t>- Các Sở, Ban ngành cấp tỉnh;</w:t>
            </w:r>
          </w:p>
          <w:p w:rsidR="00855F1E" w:rsidRPr="008C1FBA" w:rsidRDefault="00855F1E" w:rsidP="0003733D">
            <w:pPr>
              <w:spacing w:before="0" w:after="0"/>
              <w:rPr>
                <w:color w:val="000000"/>
                <w:sz w:val="22"/>
                <w:szCs w:val="22"/>
              </w:rPr>
            </w:pPr>
            <w:r w:rsidRPr="008C1FBA">
              <w:rPr>
                <w:color w:val="000000"/>
                <w:sz w:val="22"/>
                <w:szCs w:val="22"/>
              </w:rPr>
              <w:t>- Thường trực HĐND các huyện, thị, thành phố;</w:t>
            </w:r>
          </w:p>
          <w:p w:rsidR="00855F1E" w:rsidRPr="008C1FBA" w:rsidRDefault="00855F1E" w:rsidP="0003733D">
            <w:pPr>
              <w:spacing w:before="0" w:after="0"/>
              <w:rPr>
                <w:color w:val="000000"/>
                <w:sz w:val="22"/>
                <w:szCs w:val="22"/>
              </w:rPr>
            </w:pPr>
            <w:r w:rsidRPr="008C1FBA">
              <w:rPr>
                <w:color w:val="000000"/>
                <w:sz w:val="22"/>
                <w:szCs w:val="22"/>
              </w:rPr>
              <w:t>- UBND các huyện, thị, thành phố;</w:t>
            </w:r>
          </w:p>
          <w:p w:rsidR="00855F1E" w:rsidRPr="008C1FBA" w:rsidRDefault="00855F1E" w:rsidP="0003733D">
            <w:pPr>
              <w:spacing w:before="0" w:after="0"/>
              <w:rPr>
                <w:color w:val="000000"/>
                <w:sz w:val="22"/>
                <w:szCs w:val="22"/>
              </w:rPr>
            </w:pPr>
            <w:r w:rsidRPr="008C1FBA">
              <w:rPr>
                <w:color w:val="000000"/>
                <w:sz w:val="22"/>
                <w:szCs w:val="22"/>
              </w:rPr>
              <w:t>- Lưu VT</w:t>
            </w:r>
          </w:p>
        </w:tc>
        <w:tc>
          <w:tcPr>
            <w:tcW w:w="4677" w:type="dxa"/>
            <w:shd w:val="clear" w:color="auto" w:fill="FFFFFF"/>
            <w:tcMar>
              <w:top w:w="0" w:type="dxa"/>
              <w:left w:w="108" w:type="dxa"/>
              <w:bottom w:w="0" w:type="dxa"/>
              <w:right w:w="108" w:type="dxa"/>
            </w:tcMar>
          </w:tcPr>
          <w:p w:rsidR="00855F1E" w:rsidRPr="008C1FBA" w:rsidRDefault="00855F1E">
            <w:pPr>
              <w:spacing w:after="0"/>
              <w:jc w:val="center"/>
              <w:rPr>
                <w:b/>
                <w:bCs/>
                <w:color w:val="000000"/>
                <w:sz w:val="28"/>
                <w:szCs w:val="28"/>
                <w:lang w:val="fi-FI"/>
              </w:rPr>
            </w:pPr>
            <w:r w:rsidRPr="008C1FBA">
              <w:rPr>
                <w:b/>
                <w:bCs/>
                <w:color w:val="000000"/>
                <w:sz w:val="28"/>
                <w:szCs w:val="28"/>
                <w:lang w:val="fi-FI"/>
              </w:rPr>
              <w:t>CHỦ TỊCH</w:t>
            </w:r>
            <w:r w:rsidRPr="008C1FBA">
              <w:rPr>
                <w:b/>
                <w:bCs/>
                <w:color w:val="000000"/>
                <w:sz w:val="28"/>
                <w:szCs w:val="28"/>
                <w:lang w:val="fi-FI"/>
              </w:rPr>
              <w:br/>
            </w:r>
            <w:r w:rsidRPr="008C1FBA">
              <w:rPr>
                <w:b/>
                <w:bCs/>
                <w:color w:val="000000"/>
                <w:sz w:val="28"/>
                <w:szCs w:val="28"/>
                <w:lang w:val="fi-FI"/>
              </w:rPr>
              <w:br/>
            </w:r>
            <w:r w:rsidRPr="008C1FBA">
              <w:rPr>
                <w:b/>
                <w:bCs/>
                <w:color w:val="000000"/>
                <w:sz w:val="28"/>
                <w:szCs w:val="28"/>
                <w:lang w:val="fi-FI"/>
              </w:rPr>
              <w:br/>
            </w:r>
          </w:p>
          <w:p w:rsidR="00855F1E" w:rsidRPr="008C1FBA" w:rsidRDefault="00855F1E">
            <w:pPr>
              <w:spacing w:after="0"/>
              <w:jc w:val="center"/>
              <w:rPr>
                <w:b/>
                <w:bCs/>
                <w:color w:val="000000"/>
                <w:sz w:val="28"/>
                <w:szCs w:val="28"/>
                <w:lang w:val="fi-FI"/>
              </w:rPr>
            </w:pPr>
          </w:p>
          <w:p w:rsidR="00855F1E" w:rsidRPr="008C1FBA" w:rsidRDefault="00855F1E">
            <w:pPr>
              <w:spacing w:after="0"/>
              <w:jc w:val="center"/>
              <w:rPr>
                <w:color w:val="000000"/>
                <w:sz w:val="28"/>
                <w:szCs w:val="28"/>
              </w:rPr>
            </w:pPr>
            <w:r w:rsidRPr="008C1FBA">
              <w:rPr>
                <w:b/>
                <w:bCs/>
                <w:color w:val="000000"/>
                <w:sz w:val="28"/>
                <w:szCs w:val="28"/>
                <w:lang w:val="fi-FI"/>
              </w:rPr>
              <w:t>Nguyễn Văn Hùng</w:t>
            </w:r>
            <w:r w:rsidRPr="008C1FBA">
              <w:rPr>
                <w:b/>
                <w:bCs/>
                <w:color w:val="000000"/>
                <w:sz w:val="28"/>
                <w:szCs w:val="28"/>
                <w:lang w:val="fi-FI"/>
              </w:rPr>
              <w:br/>
            </w:r>
            <w:r w:rsidRPr="008C1FBA">
              <w:rPr>
                <w:b/>
                <w:bCs/>
                <w:color w:val="000000"/>
                <w:sz w:val="28"/>
                <w:szCs w:val="28"/>
                <w:lang w:val="fi-FI"/>
              </w:rPr>
              <w:br/>
            </w:r>
          </w:p>
        </w:tc>
      </w:tr>
    </w:tbl>
    <w:p w:rsidR="00855F1E" w:rsidRPr="008C1FBA" w:rsidRDefault="00855F1E">
      <w:pPr>
        <w:rPr>
          <w:sz w:val="28"/>
          <w:szCs w:val="28"/>
        </w:rPr>
      </w:pPr>
      <w:bookmarkStart w:id="0" w:name="_GoBack"/>
      <w:bookmarkEnd w:id="0"/>
    </w:p>
    <w:sectPr w:rsidR="00855F1E" w:rsidRPr="008C1FBA" w:rsidSect="00FA5461">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17AFC"/>
    <w:multiLevelType w:val="hybridMultilevel"/>
    <w:tmpl w:val="14ECE982"/>
    <w:lvl w:ilvl="0" w:tplc="600C439C">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DFF"/>
    <w:rsid w:val="0003733D"/>
    <w:rsid w:val="000F7F74"/>
    <w:rsid w:val="001A789D"/>
    <w:rsid w:val="001E29AC"/>
    <w:rsid w:val="001E7EED"/>
    <w:rsid w:val="0025020C"/>
    <w:rsid w:val="003D34FA"/>
    <w:rsid w:val="003D7EFB"/>
    <w:rsid w:val="004607A6"/>
    <w:rsid w:val="00472D4A"/>
    <w:rsid w:val="00491DFF"/>
    <w:rsid w:val="00531DE0"/>
    <w:rsid w:val="00855F1E"/>
    <w:rsid w:val="008626B2"/>
    <w:rsid w:val="008A6103"/>
    <w:rsid w:val="008C1FBA"/>
    <w:rsid w:val="00A82C22"/>
    <w:rsid w:val="00CC7AF4"/>
    <w:rsid w:val="00D32646"/>
    <w:rsid w:val="00DE33D5"/>
    <w:rsid w:val="00FA5461"/>
    <w:rsid w:val="00FF58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FF"/>
    <w:pPr>
      <w:spacing w:before="120" w:after="120"/>
    </w:pPr>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91DFF"/>
    <w:rPr>
      <w:color w:val="0000FF"/>
      <w:u w:val="single"/>
    </w:rPr>
  </w:style>
</w:styles>
</file>

<file path=word/webSettings.xml><?xml version="1.0" encoding="utf-8"?>
<w:webSettings xmlns:r="http://schemas.openxmlformats.org/officeDocument/2006/relationships" xmlns:w="http://schemas.openxmlformats.org/wordprocessingml/2006/main">
  <w:divs>
    <w:div w:id="664208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thongphapluatvietnam.com/docs/find-go/3738/TTr-UBND&amp;area=2&amp;type=0&amp;match=False&amp;vc=True&amp;org=78&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478</Words>
  <Characters>2725</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Welcome</dc:creator>
  <cp:keywords/>
  <dc:description/>
  <cp:lastModifiedBy>thuyduong</cp:lastModifiedBy>
  <cp:revision>2</cp:revision>
  <dcterms:created xsi:type="dcterms:W3CDTF">2017-06-12T07:33:00Z</dcterms:created>
  <dcterms:modified xsi:type="dcterms:W3CDTF">2017-06-12T07:33:00Z</dcterms:modified>
</cp:coreProperties>
</file>